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A4774" w14:textId="77777777" w:rsidR="00B369E5" w:rsidRDefault="00B369E5" w:rsidP="00B369E5"/>
    <w:p w14:paraId="287402B6" w14:textId="77777777" w:rsidR="00B369E5" w:rsidRDefault="00B369E5" w:rsidP="00B369E5">
      <w:pPr>
        <w:jc w:val="center"/>
      </w:pPr>
      <w:r w:rsidRPr="007B7BD1">
        <w:rPr>
          <w:noProof/>
          <w:lang w:eastAsia="el-GR"/>
        </w:rPr>
        <w:drawing>
          <wp:inline distT="0" distB="0" distL="0" distR="0" wp14:anchorId="0AA753ED" wp14:editId="504B74C0">
            <wp:extent cx="1152000" cy="54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000" cy="540000"/>
                    </a:xfrm>
                    <a:prstGeom prst="rect">
                      <a:avLst/>
                    </a:prstGeom>
                    <a:noFill/>
                    <a:ln>
                      <a:noFill/>
                    </a:ln>
                  </pic:spPr>
                </pic:pic>
              </a:graphicData>
            </a:graphic>
          </wp:inline>
        </w:drawing>
      </w:r>
    </w:p>
    <w:p w14:paraId="0598DB3C" w14:textId="77777777" w:rsidR="00B369E5" w:rsidRDefault="00B369E5" w:rsidP="00B369E5">
      <w:pPr>
        <w:jc w:val="left"/>
      </w:pPr>
    </w:p>
    <w:p w14:paraId="357138D5" w14:textId="211C3F34" w:rsidR="00B369E5" w:rsidRPr="00E17874" w:rsidRDefault="00E41FC7" w:rsidP="00B369E5">
      <w:pPr>
        <w:tabs>
          <w:tab w:val="left" w:pos="1985"/>
        </w:tabs>
        <w:spacing w:after="0" w:line="240" w:lineRule="auto"/>
        <w:jc w:val="center"/>
        <w:rPr>
          <w:b/>
          <w:szCs w:val="20"/>
        </w:rPr>
      </w:pPr>
      <w:r w:rsidRPr="00E17874" w:rsidDel="00E41FC7">
        <w:rPr>
          <w:b/>
        </w:rPr>
        <w:t xml:space="preserve"> </w:t>
      </w:r>
      <w:r w:rsidR="00B369E5" w:rsidRPr="00E17874">
        <w:rPr>
          <w:b/>
          <w:szCs w:val="20"/>
        </w:rPr>
        <w:t>«ΕΛΒΑΛΧΑΛΚΟΡ ΕΛΛΗΝΙΚΗ ΒΙΟΜΗΧΑΝΙΑ ΧΑΛΚΟΥ ΚΑΙ ΑΛΟΥΜΙΝΙΟΥ ΑΝΩΝΥΜΟΣ ΕΤΑΙΡΕΙΑ»</w:t>
      </w:r>
    </w:p>
    <w:p w14:paraId="539E1FFD" w14:textId="77777777" w:rsidR="00B369E5" w:rsidRDefault="00B369E5"/>
    <w:p w14:paraId="743E1A3A" w14:textId="77777777" w:rsidR="00B369E5" w:rsidRDefault="00B369E5" w:rsidP="00B369E5">
      <w:pPr>
        <w:tabs>
          <w:tab w:val="left" w:pos="1985"/>
        </w:tabs>
        <w:spacing w:after="0" w:line="240" w:lineRule="auto"/>
        <w:jc w:val="center"/>
        <w:rPr>
          <w:b/>
          <w:szCs w:val="20"/>
        </w:rPr>
      </w:pPr>
      <w:r w:rsidRPr="00B369E5">
        <w:rPr>
          <w:b/>
          <w:szCs w:val="20"/>
        </w:rPr>
        <w:t xml:space="preserve">ΑΝΑΚΟΙΝΩΣΗ - ΠΡΟΣΚΛΗΣΗ ΠΡΟΣ ΤΟ ΕΠΕΝΔΥΤΙΚΟ ΚΟΙΝΟ </w:t>
      </w:r>
    </w:p>
    <w:p w14:paraId="0D8123CD" w14:textId="77777777" w:rsidR="00B369E5" w:rsidRDefault="00B369E5" w:rsidP="00B369E5">
      <w:pPr>
        <w:tabs>
          <w:tab w:val="left" w:pos="1985"/>
        </w:tabs>
        <w:spacing w:after="0" w:line="240" w:lineRule="auto"/>
        <w:jc w:val="center"/>
        <w:rPr>
          <w:b/>
          <w:szCs w:val="20"/>
        </w:rPr>
      </w:pPr>
    </w:p>
    <w:p w14:paraId="2E472559" w14:textId="77777777" w:rsidR="00395BF3" w:rsidRDefault="00B369E5" w:rsidP="00B369E5">
      <w:pPr>
        <w:tabs>
          <w:tab w:val="left" w:pos="1985"/>
        </w:tabs>
        <w:spacing w:after="0" w:line="240" w:lineRule="auto"/>
        <w:jc w:val="center"/>
        <w:rPr>
          <w:szCs w:val="20"/>
        </w:rPr>
      </w:pPr>
      <w:r w:rsidRPr="00B369E5">
        <w:rPr>
          <w:szCs w:val="20"/>
        </w:rPr>
        <w:t xml:space="preserve">ΣΧΕΤΙΚΑ ΜΕ ΤΗ ΔΗΜΟΣΙΑ ΠΡΟΣΦΟΡΑ ΣΤΗΝ ΕΛΛΑΔΑ ΜΕ ΚΑΤΑΒΟΛΗ ΜΕΤΡΗΤΩΝ ΚΑΙ ΤΗΝ ΕΙΣΑΓΩΓΗ ΠΡΟΣ ΔΙΑΠΡΑΓΜΑΤΕΥΣΗ ΣΤΗΝ ΚΑΤΗΓΟΡΙΑ ΤΙΤΛΩΝ ΣΤΑΘΕΡΟΥ ΕΙΣΟΔΗΜΑΤΟΣ ΤΗΣ ΡΥΘΜΙΖΟΜΕΝΗΣ ΑΓΟΡΑΣ ΤΟΥ ΧΡΗΜΑΤΙΣΤΗΡΙΟΥ ΑΘΗΝΩΝ ΤΩΝ ΟΜΟΛΟΓΙΩΝ ΤΗΣ ΕΤΑΙΡΕΙΑΣ </w:t>
      </w:r>
    </w:p>
    <w:p w14:paraId="7A7091CF" w14:textId="77777777" w:rsidR="00B369E5" w:rsidRDefault="00B369E5" w:rsidP="00B369E5">
      <w:pPr>
        <w:tabs>
          <w:tab w:val="left" w:pos="1985"/>
        </w:tabs>
        <w:spacing w:after="0" w:line="240" w:lineRule="auto"/>
        <w:jc w:val="center"/>
        <w:rPr>
          <w:szCs w:val="20"/>
        </w:rPr>
      </w:pPr>
      <w:r w:rsidRPr="00B369E5">
        <w:rPr>
          <w:szCs w:val="20"/>
        </w:rPr>
        <w:t>«</w:t>
      </w:r>
      <w:r w:rsidRPr="00B369E5">
        <w:rPr>
          <w:b/>
          <w:szCs w:val="20"/>
        </w:rPr>
        <w:t>ΕΛΒΑΛΧΑΛΚΟΡ ΕΛΛΗΝΙΚΗ ΒΙΟΜΗΧΑΝΙΑ ΧΑΛΚΟΥ ΚΑΙ ΑΛΟΥΜΙΝΙΟΥ ΑΝΩΝΥΜΟΣ ΕΤΑΙΡΕΙΑ</w:t>
      </w:r>
      <w:r>
        <w:rPr>
          <w:szCs w:val="20"/>
        </w:rPr>
        <w:t>»</w:t>
      </w:r>
    </w:p>
    <w:p w14:paraId="4B96A12B" w14:textId="53B16C61" w:rsidR="00B369E5" w:rsidRDefault="00B369E5" w:rsidP="00B369E5">
      <w:pPr>
        <w:tabs>
          <w:tab w:val="left" w:pos="1985"/>
        </w:tabs>
        <w:spacing w:after="0" w:line="240" w:lineRule="auto"/>
        <w:jc w:val="center"/>
        <w:rPr>
          <w:b/>
          <w:szCs w:val="20"/>
        </w:rPr>
      </w:pPr>
      <w:r w:rsidRPr="00B369E5">
        <w:rPr>
          <w:szCs w:val="20"/>
        </w:rPr>
        <w:t>ΜΕ ΕΚΔΟΣΗ ΚΟΙΝΟΥ ΟΜΟΛΟΓΙΑΚΟΥ ΔΑΝΕΙΟΥ</w:t>
      </w:r>
      <w:r w:rsidRPr="00B369E5">
        <w:rPr>
          <w:b/>
          <w:szCs w:val="20"/>
        </w:rPr>
        <w:t xml:space="preserve"> </w:t>
      </w:r>
    </w:p>
    <w:p w14:paraId="6CB1C8E8" w14:textId="77777777" w:rsidR="00B369E5" w:rsidRDefault="00B369E5" w:rsidP="00B369E5">
      <w:pPr>
        <w:tabs>
          <w:tab w:val="left" w:pos="1985"/>
        </w:tabs>
        <w:spacing w:after="0" w:line="240" w:lineRule="auto"/>
        <w:jc w:val="center"/>
        <w:rPr>
          <w:b/>
          <w:szCs w:val="20"/>
        </w:rPr>
      </w:pPr>
    </w:p>
    <w:p w14:paraId="7B7567C3" w14:textId="77777777" w:rsidR="00B369E5" w:rsidRDefault="00B369E5" w:rsidP="00B369E5">
      <w:pPr>
        <w:tabs>
          <w:tab w:val="left" w:pos="1985"/>
        </w:tabs>
        <w:spacing w:after="0" w:line="240" w:lineRule="auto"/>
        <w:jc w:val="center"/>
        <w:rPr>
          <w:b/>
          <w:szCs w:val="20"/>
        </w:rPr>
      </w:pPr>
      <w:r w:rsidRPr="00B369E5">
        <w:rPr>
          <w:b/>
          <w:szCs w:val="20"/>
        </w:rPr>
        <w:t xml:space="preserve">ΔΗΜΟΣΙΑ ΠΡΟΣΦΟΡΑ ΑΠΟ ΤΗΝ </w:t>
      </w:r>
      <w:r>
        <w:rPr>
          <w:b/>
          <w:szCs w:val="20"/>
        </w:rPr>
        <w:t>10 ΝΟΕΜΒΡΙΟΥ 2021</w:t>
      </w:r>
      <w:r w:rsidRPr="00B369E5">
        <w:rPr>
          <w:b/>
          <w:szCs w:val="20"/>
        </w:rPr>
        <w:t xml:space="preserve"> ΕΩΣ ΚΑΙ ΤΗΝ </w:t>
      </w:r>
      <w:r>
        <w:rPr>
          <w:b/>
          <w:szCs w:val="20"/>
        </w:rPr>
        <w:t>12</w:t>
      </w:r>
      <w:r w:rsidRPr="00B369E5">
        <w:rPr>
          <w:b/>
          <w:szCs w:val="20"/>
        </w:rPr>
        <w:t xml:space="preserve"> </w:t>
      </w:r>
      <w:r>
        <w:rPr>
          <w:b/>
          <w:szCs w:val="20"/>
        </w:rPr>
        <w:t>ΝΟΕΜ</w:t>
      </w:r>
      <w:r w:rsidRPr="00B369E5">
        <w:rPr>
          <w:b/>
          <w:szCs w:val="20"/>
        </w:rPr>
        <w:t xml:space="preserve">ΒΡΙΟΥ 2021 </w:t>
      </w:r>
    </w:p>
    <w:p w14:paraId="621A8ADD" w14:textId="77777777" w:rsidR="00B369E5" w:rsidRDefault="00B369E5" w:rsidP="00B369E5">
      <w:pPr>
        <w:tabs>
          <w:tab w:val="left" w:pos="1985"/>
        </w:tabs>
        <w:spacing w:after="0" w:line="240" w:lineRule="auto"/>
        <w:jc w:val="center"/>
        <w:rPr>
          <w:b/>
          <w:szCs w:val="20"/>
        </w:rPr>
      </w:pPr>
    </w:p>
    <w:p w14:paraId="2F4E3733" w14:textId="77777777" w:rsidR="00B369E5" w:rsidRDefault="00B369E5" w:rsidP="00E87A89">
      <w:pPr>
        <w:tabs>
          <w:tab w:val="left" w:pos="1985"/>
        </w:tabs>
        <w:spacing w:before="120" w:after="120" w:line="240" w:lineRule="auto"/>
        <w:jc w:val="center"/>
        <w:rPr>
          <w:b/>
          <w:szCs w:val="20"/>
        </w:rPr>
      </w:pPr>
      <w:r w:rsidRPr="00B369E5">
        <w:rPr>
          <w:b/>
          <w:szCs w:val="20"/>
        </w:rPr>
        <w:t>ΣΥΝΤΟΝΙΣΤΕΣ ΚΥΡΙΟΙ ΑΝΑΔΟΧΟΙ ΤΗΣ ΔΗΜΟΣΙΑΣ ΠΡΟΣΦΟΡΑΣ</w:t>
      </w:r>
    </w:p>
    <w:p w14:paraId="66A85D1E" w14:textId="77777777" w:rsidR="00E87A89" w:rsidRDefault="00E87A89" w:rsidP="00E87A89">
      <w:pPr>
        <w:tabs>
          <w:tab w:val="left" w:pos="1985"/>
        </w:tabs>
        <w:spacing w:before="120" w:after="120" w:line="240" w:lineRule="auto"/>
        <w:jc w:val="center"/>
        <w:rPr>
          <w:b/>
          <w:szCs w:val="20"/>
        </w:rPr>
      </w:pPr>
    </w:p>
    <w:p w14:paraId="64092D93" w14:textId="1456BC7B" w:rsidR="00E87A89" w:rsidRPr="007B7BD1" w:rsidRDefault="00E87A89" w:rsidP="00E87A89">
      <w:pPr>
        <w:autoSpaceDE w:val="0"/>
        <w:autoSpaceDN w:val="0"/>
        <w:adjustRightInd w:val="0"/>
        <w:spacing w:line="240" w:lineRule="auto"/>
        <w:jc w:val="center"/>
        <w:rPr>
          <w:rFonts w:cs="Arial"/>
          <w:b/>
          <w:szCs w:val="20"/>
        </w:rPr>
      </w:pPr>
      <w:r w:rsidRPr="007B7BD1">
        <w:rPr>
          <w:rFonts w:cs="Arial"/>
          <w:b/>
          <w:noProof/>
          <w:szCs w:val="20"/>
          <w:lang w:eastAsia="el-GR"/>
        </w:rPr>
        <w:drawing>
          <wp:inline distT="0" distB="0" distL="0" distR="0" wp14:anchorId="79CAD8CA" wp14:editId="75EBC4ED">
            <wp:extent cx="1057275" cy="329164"/>
            <wp:effectExtent l="0" t="0" r="0" b="0"/>
            <wp:docPr id="13" name="Picture 10" descr="eurobank 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robank logoRGB"/>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841"/>
                    <a:stretch/>
                  </pic:blipFill>
                  <pic:spPr bwMode="auto">
                    <a:xfrm>
                      <a:off x="0" y="0"/>
                      <a:ext cx="1065208" cy="331634"/>
                    </a:xfrm>
                    <a:prstGeom prst="rect">
                      <a:avLst/>
                    </a:prstGeom>
                    <a:noFill/>
                    <a:ln>
                      <a:noFill/>
                    </a:ln>
                    <a:extLst>
                      <a:ext uri="{53640926-AAD7-44D8-BBD7-CCE9431645EC}">
                        <a14:shadowObscured xmlns:a14="http://schemas.microsoft.com/office/drawing/2010/main"/>
                      </a:ext>
                    </a:extLst>
                  </pic:spPr>
                </pic:pic>
              </a:graphicData>
            </a:graphic>
          </wp:inline>
        </w:drawing>
      </w:r>
      <w:r w:rsidRPr="007B7BD1">
        <w:rPr>
          <w:rFonts w:cs="Arial"/>
          <w:b/>
          <w:szCs w:val="20"/>
        </w:rPr>
        <w:tab/>
        <w:t xml:space="preserve">    </w:t>
      </w:r>
      <w:r w:rsidRPr="007F3BD9">
        <w:rPr>
          <w:rFonts w:cs="Arial"/>
          <w:b/>
          <w:noProof/>
          <w:szCs w:val="20"/>
          <w:lang w:eastAsia="el-GR"/>
        </w:rPr>
        <w:drawing>
          <wp:inline distT="0" distB="0" distL="0" distR="0" wp14:anchorId="70EEA890" wp14:editId="0EC58EE2">
            <wp:extent cx="1176677" cy="269240"/>
            <wp:effectExtent l="0" t="0" r="4445" b="0"/>
            <wp:docPr id="33" name="Picture 33" descr="D:\CAPITAL\PUBLIC\Viohalco Group\ElvalHalcor Bond 2021\logos\Alpha_Bank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APITAL\PUBLIC\Viohalco Group\ElvalHalcor Bond 2021\logos\Alpha_Bank_LOGO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562" cy="324358"/>
                    </a:xfrm>
                    <a:prstGeom prst="rect">
                      <a:avLst/>
                    </a:prstGeom>
                    <a:noFill/>
                    <a:ln>
                      <a:noFill/>
                    </a:ln>
                  </pic:spPr>
                </pic:pic>
              </a:graphicData>
            </a:graphic>
          </wp:inline>
        </w:drawing>
      </w:r>
    </w:p>
    <w:p w14:paraId="4F264CE6" w14:textId="77777777" w:rsidR="00E87A89" w:rsidRDefault="00E87A89" w:rsidP="00E87A89">
      <w:pPr>
        <w:tabs>
          <w:tab w:val="left" w:pos="1985"/>
        </w:tabs>
        <w:spacing w:before="120" w:after="120" w:line="240" w:lineRule="auto"/>
        <w:jc w:val="center"/>
        <w:rPr>
          <w:b/>
          <w:szCs w:val="20"/>
        </w:rPr>
      </w:pPr>
    </w:p>
    <w:p w14:paraId="0B60EDFF" w14:textId="77777777" w:rsidR="00E87A89" w:rsidRDefault="00E87A89" w:rsidP="00E87A89">
      <w:pPr>
        <w:tabs>
          <w:tab w:val="left" w:pos="1985"/>
        </w:tabs>
        <w:spacing w:before="120" w:after="120" w:line="240" w:lineRule="auto"/>
        <w:jc w:val="center"/>
        <w:rPr>
          <w:b/>
          <w:szCs w:val="20"/>
        </w:rPr>
      </w:pPr>
      <w:r w:rsidRPr="00E87A89">
        <w:rPr>
          <w:b/>
          <w:szCs w:val="20"/>
        </w:rPr>
        <w:t>ΚΥΡΙΟΙ ΑΝΑΔΟΧΟΙ ΤΗΣ ΔΗΜΟΣΙΑΣ ΠΡΟΣΦΟΡΑΣ</w:t>
      </w:r>
    </w:p>
    <w:p w14:paraId="20970C55" w14:textId="77777777" w:rsidR="00E87A89" w:rsidRPr="00E87A89" w:rsidRDefault="00E87A89" w:rsidP="00E87A89">
      <w:pPr>
        <w:tabs>
          <w:tab w:val="left" w:pos="1985"/>
        </w:tabs>
        <w:spacing w:before="120" w:after="120" w:line="240" w:lineRule="auto"/>
        <w:jc w:val="center"/>
        <w:rPr>
          <w:b/>
          <w:szCs w:val="20"/>
        </w:rPr>
      </w:pPr>
    </w:p>
    <w:p w14:paraId="5DC0D14C" w14:textId="77777777" w:rsidR="00E87A89" w:rsidRPr="007B7BD1" w:rsidRDefault="00E87A89" w:rsidP="00E87A89">
      <w:pPr>
        <w:autoSpaceDE w:val="0"/>
        <w:autoSpaceDN w:val="0"/>
        <w:adjustRightInd w:val="0"/>
        <w:spacing w:line="240" w:lineRule="auto"/>
        <w:jc w:val="center"/>
        <w:rPr>
          <w:rFonts w:cs="Arial"/>
          <w:b/>
          <w:szCs w:val="20"/>
        </w:rPr>
      </w:pPr>
      <w:r w:rsidRPr="00D677E0">
        <w:rPr>
          <w:rFonts w:cs="Arial"/>
          <w:b/>
          <w:noProof/>
          <w:szCs w:val="20"/>
          <w:lang w:eastAsia="el-GR"/>
        </w:rPr>
        <w:drawing>
          <wp:inline distT="0" distB="0" distL="0" distR="0" wp14:anchorId="4C071D3D" wp14:editId="47F97C49">
            <wp:extent cx="666750" cy="429008"/>
            <wp:effectExtent l="0" t="0" r="0" b="9525"/>
            <wp:docPr id="34" name="Picture 34" descr="D:\CAPITAL\PUBLIC\Viohalco Group\ElvalHalcor Bond 2021\logos\E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APITAL\PUBLIC\Viohalco Group\ElvalHalcor Bond 2021\logos\ET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278" cy="439642"/>
                    </a:xfrm>
                    <a:prstGeom prst="rect">
                      <a:avLst/>
                    </a:prstGeom>
                    <a:noFill/>
                    <a:ln>
                      <a:noFill/>
                    </a:ln>
                  </pic:spPr>
                </pic:pic>
              </a:graphicData>
            </a:graphic>
          </wp:inline>
        </w:drawing>
      </w:r>
      <w:r w:rsidRPr="007B7BD1">
        <w:rPr>
          <w:rFonts w:cs="Arial"/>
          <w:b/>
          <w:szCs w:val="20"/>
        </w:rPr>
        <w:t xml:space="preserve">          </w:t>
      </w:r>
      <w:r w:rsidRPr="007B7BD1">
        <w:rPr>
          <w:rFonts w:cs="Arial"/>
          <w:b/>
          <w:noProof/>
          <w:szCs w:val="20"/>
          <w:lang w:eastAsia="el-GR"/>
        </w:rPr>
        <w:drawing>
          <wp:inline distT="0" distB="0" distL="0" distR="0" wp14:anchorId="4921CF2A" wp14:editId="31156583">
            <wp:extent cx="457200"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4618D">
        <w:rPr>
          <w:rFonts w:cs="Arial"/>
          <w:b/>
          <w:szCs w:val="20"/>
        </w:rPr>
        <w:t xml:space="preserve">           </w:t>
      </w:r>
      <w:r w:rsidRPr="00D677E0">
        <w:rPr>
          <w:rFonts w:cs="Arial"/>
          <w:b/>
          <w:noProof/>
          <w:szCs w:val="20"/>
          <w:lang w:eastAsia="el-GR"/>
        </w:rPr>
        <w:drawing>
          <wp:inline distT="0" distB="0" distL="0" distR="0" wp14:anchorId="1CE4119B" wp14:editId="748437EE">
            <wp:extent cx="438150" cy="438150"/>
            <wp:effectExtent l="0" t="0" r="0" b="0"/>
            <wp:docPr id="38" name="Picture 38" descr="D:\CAPITAL\PUBLIC\Viohalco Group\ElvalHalcor Bond 2021\logos\optima\brand_device_optima_RGB_1200x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CAPITAL\PUBLIC\Viohalco Group\ElvalHalcor Bond 2021\logos\optima\brand_device_optima_RGB_1200x12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492A4832" w14:textId="77777777" w:rsidR="00E87A89" w:rsidRDefault="00E87A89" w:rsidP="00E87A89">
      <w:pPr>
        <w:autoSpaceDE w:val="0"/>
        <w:autoSpaceDN w:val="0"/>
        <w:adjustRightInd w:val="0"/>
        <w:spacing w:line="240" w:lineRule="auto"/>
        <w:jc w:val="center"/>
        <w:rPr>
          <w:rFonts w:cs="Arial"/>
          <w:b/>
          <w:szCs w:val="20"/>
        </w:rPr>
      </w:pPr>
    </w:p>
    <w:p w14:paraId="76207C1B" w14:textId="0582C23E" w:rsidR="00E87A89" w:rsidRPr="007B7BD1" w:rsidRDefault="00E87A89" w:rsidP="00E87A89">
      <w:pPr>
        <w:autoSpaceDE w:val="0"/>
        <w:autoSpaceDN w:val="0"/>
        <w:adjustRightInd w:val="0"/>
        <w:spacing w:line="240" w:lineRule="auto"/>
        <w:jc w:val="center"/>
        <w:rPr>
          <w:rFonts w:cs="Arial"/>
          <w:b/>
          <w:szCs w:val="20"/>
        </w:rPr>
      </w:pPr>
      <w:r w:rsidRPr="007B7BD1">
        <w:rPr>
          <w:rFonts w:cs="Arial"/>
          <w:b/>
          <w:szCs w:val="20"/>
        </w:rPr>
        <w:t xml:space="preserve">ΑΝΑΔΟΧΟΙ </w:t>
      </w:r>
      <w:r w:rsidR="003C452B" w:rsidRPr="00B369E5">
        <w:rPr>
          <w:b/>
          <w:szCs w:val="20"/>
        </w:rPr>
        <w:t>ΤΗΣ ΔΗΜΟΣΙΑΣ ΠΡΟΣΦΟΡΑΣ</w:t>
      </w:r>
    </w:p>
    <w:p w14:paraId="5745FEC2" w14:textId="77777777" w:rsidR="00E87A89" w:rsidRPr="007B7BD1" w:rsidRDefault="00E87A89" w:rsidP="00E87A89">
      <w:pPr>
        <w:autoSpaceDE w:val="0"/>
        <w:autoSpaceDN w:val="0"/>
        <w:adjustRightInd w:val="0"/>
        <w:spacing w:line="240" w:lineRule="auto"/>
        <w:jc w:val="center"/>
        <w:rPr>
          <w:rFonts w:cs="Arial"/>
          <w:b/>
          <w:szCs w:val="20"/>
        </w:rPr>
      </w:pPr>
      <w:r w:rsidRPr="00F85068">
        <w:rPr>
          <w:rFonts w:cs="Arial"/>
          <w:b/>
          <w:noProof/>
          <w:szCs w:val="20"/>
          <w:lang w:eastAsia="el-GR"/>
        </w:rPr>
        <w:drawing>
          <wp:inline distT="0" distB="0" distL="0" distR="0" wp14:anchorId="0F629063" wp14:editId="5349E13B">
            <wp:extent cx="546683" cy="438150"/>
            <wp:effectExtent l="0" t="0" r="6350" b="0"/>
            <wp:docPr id="46" name="Picture 46" descr="D:\CAPITAL\PUBLIC\Viohalco Group\ElvalHalcor Bond 2021\logos\axia_MicrosoftTeam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CAPITAL\PUBLIC\Viohalco Group\ElvalHalcor Bond 2021\logos\axia_MicrosoftTeams-image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509" cy="445224"/>
                    </a:xfrm>
                    <a:prstGeom prst="rect">
                      <a:avLst/>
                    </a:prstGeom>
                    <a:noFill/>
                    <a:ln>
                      <a:noFill/>
                    </a:ln>
                  </pic:spPr>
                </pic:pic>
              </a:graphicData>
            </a:graphic>
          </wp:inline>
        </w:drawing>
      </w:r>
      <w:r w:rsidRPr="007B7BD1">
        <w:rPr>
          <w:rFonts w:cs="Arial"/>
          <w:b/>
          <w:szCs w:val="20"/>
        </w:rPr>
        <w:t xml:space="preserve">     </w:t>
      </w:r>
      <w:r w:rsidRPr="00F2172A">
        <w:rPr>
          <w:rFonts w:cs="Arial"/>
          <w:b/>
          <w:szCs w:val="20"/>
        </w:rPr>
        <w:t xml:space="preserve">    </w:t>
      </w:r>
      <w:r w:rsidRPr="007B7BD1">
        <w:rPr>
          <w:rFonts w:cs="Arial"/>
          <w:b/>
          <w:szCs w:val="20"/>
        </w:rPr>
        <w:t xml:space="preserve">      </w:t>
      </w:r>
      <w:r w:rsidRPr="00A8430E">
        <w:rPr>
          <w:rFonts w:cs="Arial"/>
          <w:b/>
          <w:noProof/>
          <w:szCs w:val="20"/>
          <w:lang w:eastAsia="el-GR"/>
        </w:rPr>
        <w:drawing>
          <wp:inline distT="0" distB="0" distL="0" distR="0" wp14:anchorId="54528846" wp14:editId="7D42B839">
            <wp:extent cx="557504" cy="370840"/>
            <wp:effectExtent l="0" t="0" r="0" b="0"/>
            <wp:docPr id="6" name="Picture 6" descr="D:\CAPITAL\PUBLIC\Viohalco Group\ElvalHalcor Bond 2021\logos\euroxx_logop high blu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APITAL\PUBLIC\Viohalco Group\ElvalHalcor Bond 2021\logos\euroxx_logop high blue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849" cy="396346"/>
                    </a:xfrm>
                    <a:prstGeom prst="rect">
                      <a:avLst/>
                    </a:prstGeom>
                    <a:noFill/>
                    <a:ln>
                      <a:noFill/>
                    </a:ln>
                  </pic:spPr>
                </pic:pic>
              </a:graphicData>
            </a:graphic>
          </wp:inline>
        </w:drawing>
      </w:r>
      <w:r w:rsidRPr="007B7BD1">
        <w:rPr>
          <w:rFonts w:cs="Arial"/>
          <w:b/>
          <w:szCs w:val="20"/>
        </w:rPr>
        <w:t xml:space="preserve"> </w:t>
      </w:r>
    </w:p>
    <w:p w14:paraId="334B487F" w14:textId="77777777" w:rsidR="00E87A89" w:rsidRDefault="00E87A89" w:rsidP="00E87A89">
      <w:pPr>
        <w:autoSpaceDE w:val="0"/>
        <w:autoSpaceDN w:val="0"/>
        <w:adjustRightInd w:val="0"/>
        <w:spacing w:line="240" w:lineRule="auto"/>
        <w:jc w:val="center"/>
        <w:rPr>
          <w:rFonts w:cs="Arial"/>
          <w:b/>
          <w:szCs w:val="20"/>
        </w:rPr>
      </w:pPr>
    </w:p>
    <w:p w14:paraId="6A28F8D1" w14:textId="58B46ED9" w:rsidR="00E87A89" w:rsidRPr="007B7BD1" w:rsidRDefault="00E87A89" w:rsidP="00E87A89">
      <w:pPr>
        <w:autoSpaceDE w:val="0"/>
        <w:autoSpaceDN w:val="0"/>
        <w:adjustRightInd w:val="0"/>
        <w:spacing w:line="240" w:lineRule="auto"/>
        <w:jc w:val="center"/>
        <w:rPr>
          <w:rFonts w:cs="Arial"/>
          <w:b/>
          <w:szCs w:val="20"/>
        </w:rPr>
      </w:pPr>
      <w:r w:rsidRPr="007B7BD1">
        <w:rPr>
          <w:rFonts w:cs="Arial"/>
          <w:b/>
          <w:szCs w:val="20"/>
        </w:rPr>
        <w:t>ΣΥΜΒΟΥΛΟΣ ΕΚΔΟΣΗΣ</w:t>
      </w:r>
      <w:r w:rsidR="003C452B" w:rsidRPr="003C452B">
        <w:rPr>
          <w:b/>
          <w:szCs w:val="20"/>
        </w:rPr>
        <w:t xml:space="preserve"> </w:t>
      </w:r>
      <w:bookmarkStart w:id="0" w:name="_GoBack"/>
      <w:bookmarkEnd w:id="0"/>
    </w:p>
    <w:p w14:paraId="40DE4B1C" w14:textId="77777777" w:rsidR="00E87A89" w:rsidRPr="007B7BD1" w:rsidRDefault="00E87A89" w:rsidP="00E87A89">
      <w:pPr>
        <w:autoSpaceDE w:val="0"/>
        <w:autoSpaceDN w:val="0"/>
        <w:adjustRightInd w:val="0"/>
        <w:spacing w:line="240" w:lineRule="auto"/>
        <w:jc w:val="center"/>
        <w:rPr>
          <w:rFonts w:cs="Arial"/>
          <w:b/>
          <w:szCs w:val="20"/>
        </w:rPr>
      </w:pPr>
      <w:r w:rsidRPr="007B7BD1">
        <w:rPr>
          <w:rFonts w:cs="Arial"/>
          <w:b/>
          <w:noProof/>
          <w:szCs w:val="20"/>
          <w:lang w:eastAsia="el-GR"/>
        </w:rPr>
        <w:drawing>
          <wp:inline distT="0" distB="0" distL="0" distR="0" wp14:anchorId="03A257E6" wp14:editId="0612C955">
            <wp:extent cx="1162050" cy="361784"/>
            <wp:effectExtent l="0" t="0" r="0" b="635"/>
            <wp:docPr id="10" name="Picture 10" descr="eurobank 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robank logoRGB"/>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841"/>
                    <a:stretch/>
                  </pic:blipFill>
                  <pic:spPr bwMode="auto">
                    <a:xfrm>
                      <a:off x="0" y="0"/>
                      <a:ext cx="1162471" cy="361915"/>
                    </a:xfrm>
                    <a:prstGeom prst="rect">
                      <a:avLst/>
                    </a:prstGeom>
                    <a:noFill/>
                    <a:ln>
                      <a:noFill/>
                    </a:ln>
                    <a:extLst>
                      <a:ext uri="{53640926-AAD7-44D8-BBD7-CCE9431645EC}">
                        <a14:shadowObscured xmlns:a14="http://schemas.microsoft.com/office/drawing/2010/main"/>
                      </a:ext>
                    </a:extLst>
                  </pic:spPr>
                </pic:pic>
              </a:graphicData>
            </a:graphic>
          </wp:inline>
        </w:drawing>
      </w:r>
    </w:p>
    <w:p w14:paraId="2AF43B34" w14:textId="77777777" w:rsidR="00E87A89" w:rsidRDefault="00E87A89" w:rsidP="00B369E5">
      <w:pPr>
        <w:tabs>
          <w:tab w:val="left" w:pos="1985"/>
        </w:tabs>
        <w:spacing w:after="0" w:line="240" w:lineRule="auto"/>
        <w:jc w:val="center"/>
        <w:rPr>
          <w:b/>
          <w:szCs w:val="20"/>
        </w:rPr>
      </w:pPr>
    </w:p>
    <w:p w14:paraId="768FFF0C" w14:textId="323A2D1E" w:rsidR="007F14BC" w:rsidRDefault="007F14BC" w:rsidP="007F14BC">
      <w:r w:rsidRPr="007F14BC">
        <w:t xml:space="preserve">Δυνάμει της </w:t>
      </w:r>
      <w:r>
        <w:t>από 5</w:t>
      </w:r>
      <w:r w:rsidRPr="007F14BC">
        <w:t>.1</w:t>
      </w:r>
      <w:r>
        <w:t>1</w:t>
      </w:r>
      <w:r w:rsidRPr="007F14BC">
        <w:t xml:space="preserve">.2021 απόφασης της Γενικής Συνέλευσης </w:t>
      </w:r>
      <w:r>
        <w:t xml:space="preserve">και της </w:t>
      </w:r>
      <w:r w:rsidR="002B6307">
        <w:t xml:space="preserve">από </w:t>
      </w:r>
      <w:r>
        <w:t xml:space="preserve">5.11.2021 </w:t>
      </w:r>
      <w:r w:rsidRPr="007F14BC">
        <w:t xml:space="preserve">απόφασης του Διοικητικού Συμβουλίου της «ΕΛΒΑΛΧΑΛΚΟΡ ΕΛΛΗΝΙΚΗ ΒΙΟΜΗΧΑΝΙΑ ΧΑΛΚΟΥ ΚΑΙ ΑΛΟΥΜΙΝΙΟΥ ΑΝΩΝΥΜΟΣ ΕΤΑΙΡΕΙΑ» (εφεξής </w:t>
      </w:r>
      <w:r w:rsidR="00FB45C2">
        <w:t xml:space="preserve">η </w:t>
      </w:r>
      <w:r w:rsidRPr="007F14BC">
        <w:t>«Εκδότρια»), η</w:t>
      </w:r>
      <w:r>
        <w:t xml:space="preserve"> </w:t>
      </w:r>
      <w:r w:rsidRPr="007F14BC">
        <w:t>Εκδότρια μεταξύ άλλων, αποφάσισε:</w:t>
      </w:r>
    </w:p>
    <w:p w14:paraId="0D38624E" w14:textId="1A01A03F" w:rsidR="009524BA" w:rsidRDefault="00C735AF" w:rsidP="007F14BC">
      <w:r>
        <w:t xml:space="preserve">(α) την </w:t>
      </w:r>
      <w:r w:rsidR="009524BA" w:rsidRPr="00C735AF">
        <w:t xml:space="preserve">έκδοση κοινού, έντοκου, ομολογιακού </w:t>
      </w:r>
      <w:r>
        <w:t xml:space="preserve">δανείου από την Εκδότρια (εφεξής </w:t>
      </w:r>
      <w:r w:rsidR="00FB45C2">
        <w:t xml:space="preserve">το </w:t>
      </w:r>
      <w:r>
        <w:t>«Ομολογιακό Δάνειο» ή «ΚΟΔ»),</w:t>
      </w:r>
      <w:r w:rsidR="009524BA" w:rsidRPr="00C735AF">
        <w:t xml:space="preserve"> </w:t>
      </w:r>
      <w:r>
        <w:t>βάσει των διατάξεων των άρθρων 59-74 του Ν. 4548/2018, όπως ισχύει, και όσες διατάξεις του Ν. 3156/2003 παραμένουν σε ισχύ</w:t>
      </w:r>
      <w:r w:rsidR="00E811ED">
        <w:t xml:space="preserve"> </w:t>
      </w:r>
      <w:r w:rsidR="00E811ED" w:rsidRPr="00E811ED">
        <w:t>μετά την έναρξη ισχύος του Ν.4548/2018</w:t>
      </w:r>
      <w:r>
        <w:t xml:space="preserve"> καθώς και τις διατάξεις του Ν. 3371/2005</w:t>
      </w:r>
      <w:r w:rsidR="009524BA" w:rsidRPr="00C735AF">
        <w:t xml:space="preserve">, (η «Έκδοση») συνολικού ύψους μέχρι του ποσού των διακοσίων </w:t>
      </w:r>
      <w:r w:rsidR="009524BA" w:rsidRPr="00C735AF">
        <w:lastRenderedPageBreak/>
        <w:t>πενήντα εκατομμυρίων ευρώ (€250.000.000,00) και διάρκειας επτά (7) ετών χωρίς την παροχή εξασφαλίσεων</w:t>
      </w:r>
      <w:r>
        <w:t>, διαιρούμενου σε έως 250.000 άυλες, κοινές, ανώνυμες ομολογίες με ονομαστική αξία €1.000 (εφεξής οι «Ομολογίες»),</w:t>
      </w:r>
      <w:r w:rsidRPr="00C735AF">
        <w:t xml:space="preserve"> </w:t>
      </w:r>
      <w:r>
        <w:t>καθώς και την έγκριση των ειδικότερων όρων του ΚΟΔ, οι οποίοι αποτελούν το πρόγραμμα ΚΟΔ (εφεξής το «Πρόγραμμα ΚΟΔ»),</w:t>
      </w:r>
    </w:p>
    <w:p w14:paraId="471FF006" w14:textId="22024122" w:rsidR="00C735AF" w:rsidRDefault="007F14BC" w:rsidP="007F14BC">
      <w:r>
        <w:t>(β) ότι οι Ομολογίες θα διατεθούν προς κάλυψη μέσω Δημόσιας Προσφοράς εντός της Ελληνικής Επικράτειας</w:t>
      </w:r>
      <w:r w:rsidR="00D83CCC">
        <w:t xml:space="preserve"> στο σύνολο του επενδυτικού κοινού</w:t>
      </w:r>
      <w:r>
        <w:t>, ήτοι σε ειδικούς και ιδιώτες επενδυτές</w:t>
      </w:r>
      <w:r w:rsidR="00D83CCC">
        <w:t>,</w:t>
      </w:r>
      <w:r>
        <w:t xml:space="preserve"> εντός περιόδου τριών (3) εργασίμων ημερών κατά την οποία θα διεξαχθεί η κάλυψη του Ομολογιακού Δανείου (εφεξής η «Δημόσια Προσφορά»), με χρήση της υπηρεσίας Ηλεκτρονικού Βιβλίου Προσφορών του Χρηματιστηρίου Αθηνών (εφεξής το «Η.ΒΙ.Π.»), θα καταχωρηθούν στο Σ.Α.Τ. και θα εισαχθούν προς διαπραγμάτευση στην Κατηγορία Τίτλων Σταθερού Εισοδήματος της Ρυθμιζόμενης Αγοράς του Χρηματιστηρίου Αθηνών, </w:t>
      </w:r>
    </w:p>
    <w:p w14:paraId="2F47FE08" w14:textId="77777777" w:rsidR="007F14BC" w:rsidRDefault="007F14BC" w:rsidP="007F14BC">
      <w:r>
        <w:t>(γ) ότι η τιμή διάθεσης ανά Ομολογία έχει οριστεί στο άρτιο, ήτοι σε €1.000 ανά Ομολογία.</w:t>
      </w:r>
    </w:p>
    <w:p w14:paraId="77E9494D" w14:textId="77777777" w:rsidR="00C735AF" w:rsidRDefault="00C735AF" w:rsidP="007F14BC">
      <w:r>
        <w:t>Εάν το ΚΟΔ δεν καλυφθεί σε ποσό τουλάχιστον €200.000.000, η έκδοση του Ομολογιακού Δανείου θα ματαιωθεί και το ποσό που αντιστοιχεί στην αξία συμμετοχής που έχει δεσμευθεί για έκαστο Ιδιώτη Επενδυτή θα αποδεσμευθεί το αργότερο εντός δύο (2) εργάσιμων ημερών ατόκως.</w:t>
      </w:r>
    </w:p>
    <w:p w14:paraId="4BAE0B5A" w14:textId="77777777" w:rsidR="00C735AF" w:rsidRPr="00C735AF" w:rsidRDefault="00C735AF" w:rsidP="007F14BC">
      <w:pPr>
        <w:rPr>
          <w:b/>
        </w:rPr>
      </w:pPr>
      <w:r w:rsidRPr="00C735AF">
        <w:rPr>
          <w:b/>
        </w:rPr>
        <w:t xml:space="preserve">ΚΑΘΟΡΙΣΜΟΣ ΤΕΛΙΚΗΣ ΑΠΟΔΟΣΗΣ ΚΑΙ ΕΠΙΤΟΚΙΟΥ ΤΩΝ ΟΜΟΛΟΓΙΩΝ </w:t>
      </w:r>
    </w:p>
    <w:p w14:paraId="6EF6699D" w14:textId="77777777" w:rsidR="001D5436" w:rsidRDefault="001D5436" w:rsidP="007F14BC">
      <w:pPr>
        <w:rPr>
          <w:rFonts w:cs="Tahoma"/>
          <w:szCs w:val="20"/>
        </w:rPr>
      </w:pPr>
      <w:r w:rsidRPr="007B7BD1">
        <w:rPr>
          <w:rFonts w:cs="Tahoma"/>
          <w:szCs w:val="20"/>
        </w:rPr>
        <w:t>Ο προσδιορισμός της απόδοσης και του επιτοκίου των Ομολογιών</w:t>
      </w:r>
      <w:r>
        <w:rPr>
          <w:rFonts w:cs="Tahoma"/>
          <w:szCs w:val="20"/>
        </w:rPr>
        <w:t xml:space="preserve"> </w:t>
      </w:r>
      <w:r>
        <w:t>(εφεξής το «Επιτόκιο»)</w:t>
      </w:r>
      <w:r w:rsidRPr="007B7BD1">
        <w:rPr>
          <w:rFonts w:cs="Tahoma"/>
          <w:szCs w:val="20"/>
        </w:rPr>
        <w:t>, θα γίνει με τη διαδικασία του βιβλίου προσφορών («</w:t>
      </w:r>
      <w:r w:rsidRPr="007B7BD1">
        <w:rPr>
          <w:rFonts w:cs="Tahoma"/>
          <w:szCs w:val="20"/>
          <w:lang w:val="en-US"/>
        </w:rPr>
        <w:t>Book</w:t>
      </w:r>
      <w:r w:rsidRPr="007B7BD1">
        <w:rPr>
          <w:rFonts w:cs="Tahoma"/>
          <w:szCs w:val="20"/>
        </w:rPr>
        <w:t xml:space="preserve"> </w:t>
      </w:r>
      <w:r w:rsidRPr="007B7BD1">
        <w:rPr>
          <w:rFonts w:cs="Tahoma"/>
          <w:szCs w:val="20"/>
          <w:lang w:val="en-US"/>
        </w:rPr>
        <w:t>Building</w:t>
      </w:r>
      <w:r w:rsidRPr="007B7BD1">
        <w:rPr>
          <w:rFonts w:cs="Tahoma"/>
          <w:szCs w:val="20"/>
        </w:rPr>
        <w:t>»), το οποίο θα τηρηθεί από τους Συντονιστές Κύριους Αναδόχους, και θα διενεργηθεί μέσω της διαδικασίας Η.ΒΙ.Π. Στη Διαδικασία Η.ΒΙ.Π. συμμετέχουν αποκλειστικά Ειδικοί Επενδυτές.</w:t>
      </w:r>
    </w:p>
    <w:p w14:paraId="7E3E97C7" w14:textId="77777777" w:rsidR="00C735AF" w:rsidRPr="00B7532F" w:rsidRDefault="001D5436" w:rsidP="007F14BC">
      <w:pPr>
        <w:rPr>
          <w:rFonts w:cs="Tahoma"/>
          <w:szCs w:val="20"/>
        </w:rPr>
      </w:pPr>
      <w:r w:rsidRPr="007B7BD1">
        <w:rPr>
          <w:rFonts w:cs="Tahoma"/>
          <w:szCs w:val="20"/>
        </w:rPr>
        <w:t>Περαιτέρω, η τελική απόδοση θα καθοριστεί από τους Συντονιστές Κύριους Αναδόχους εντός του εύρους απόδο</w:t>
      </w:r>
      <w:r>
        <w:rPr>
          <w:rFonts w:cs="Tahoma"/>
          <w:szCs w:val="20"/>
        </w:rPr>
        <w:t>σης για τους συμμετέχοντες στη δ</w:t>
      </w:r>
      <w:r w:rsidRPr="007B7BD1">
        <w:rPr>
          <w:rFonts w:cs="Tahoma"/>
          <w:szCs w:val="20"/>
        </w:rPr>
        <w:t>ιαδικασία Η.ΒΙ.Π.</w:t>
      </w:r>
      <w:r>
        <w:rPr>
          <w:rFonts w:cs="Tahoma"/>
          <w:szCs w:val="20"/>
        </w:rPr>
        <w:t>,</w:t>
      </w:r>
      <w:r w:rsidRPr="007B7BD1">
        <w:rPr>
          <w:rFonts w:cs="Tahoma"/>
          <w:szCs w:val="20"/>
        </w:rPr>
        <w:t xml:space="preserve"> </w:t>
      </w:r>
      <w:r>
        <w:t>σύμφωνα με τα ειδικότερα σχετικά οριζόμενα στο Ενημερωτικό Δελτίο,</w:t>
      </w:r>
      <w:r w:rsidR="00B7532F">
        <w:rPr>
          <w:rFonts w:cs="Tahoma"/>
          <w:szCs w:val="20"/>
        </w:rPr>
        <w:t xml:space="preserve"> </w:t>
      </w:r>
      <w:r w:rsidR="00C735AF">
        <w:t>θα εγκριθούν από εξουσιοδοτημένο από το Διοικητικό Συμβούλιο της Εκδότριας πρόσωπο και θα ανακοινωθούν στην ιστοσελίδα της Εταιρείας και στο διαδικτυακό τόπο του Χρηματιστηρίου Αθηνών το αργότερο την επόμενη εργάσιμη ημέρα μετά την περίοδο της Δημόσιας Προσφοράς. Το εύρος απόδοσης θα οριστεί από τους Συντονιστές Κυρίους Αναδόχους και θα δημοσιευθεί στο Η.Δ.Τ. του Χ.Α. και στην ιστοσελίδα της Εκδότριας το αργότερο την προτεραία της έναρξης της περιόδου της Δημόσιας Προσφοράς, ώστε να γνωστοποιηθεί στο επενδυτικό κοινό. Σημειώνεται ότι για το προσδιορισμό του εύρους απόδοσης θ</w:t>
      </w:r>
      <w:r w:rsidR="00B7532F">
        <w:t>α ακολουθηθεί η διαδικασία του</w:t>
      </w:r>
      <w:r w:rsidR="00C735AF">
        <w:t xml:space="preserve"> </w:t>
      </w:r>
      <w:proofErr w:type="spellStart"/>
      <w:r w:rsidR="00C735AF">
        <w:t>pre-marketing</w:t>
      </w:r>
      <w:proofErr w:type="spellEnd"/>
      <w:r w:rsidR="00C735AF">
        <w:t>, ήτοι συνεκτίμηση τόσο των συνθηκών των κεφαλαιαγορών στην Ελλάδα και διεθνώς όσο και της οικονομικής θέσης και των προοπτικών του Ομίλου. Κατά την περίοδο που προηγείται της διαδικασίας του Η.ΒΙ.Π. (</w:t>
      </w:r>
      <w:proofErr w:type="spellStart"/>
      <w:r w:rsidR="00C735AF">
        <w:t>pre-marketing</w:t>
      </w:r>
      <w:proofErr w:type="spellEnd"/>
      <w:r w:rsidR="00C735AF">
        <w:t xml:space="preserve"> </w:t>
      </w:r>
      <w:proofErr w:type="spellStart"/>
      <w:r w:rsidR="00C735AF">
        <w:t>period</w:t>
      </w:r>
      <w:proofErr w:type="spellEnd"/>
      <w:r w:rsidR="00C735AF">
        <w:t>), οι Συντονιστές Κύριοι Ανάδοχοι λαμβάνουν ενδεικτικές προσφορές από Ειδικούς Επενδυτές, ώστε να προσδιορίσουν, σύμφωνα με επαγγελματικά κριτήρια, το εύρος της απόδοσης που ανταποκρίνεται καλύτερα στις συνθήκες ζήτησης της αγοράς.</w:t>
      </w:r>
    </w:p>
    <w:p w14:paraId="4251B54A" w14:textId="77777777" w:rsidR="00B7532F" w:rsidRDefault="00B7532F" w:rsidP="007F14BC">
      <w:r>
        <w:t xml:space="preserve">Η ανώτατη τιμή του εύρους της απόδοσης δύναται να υπερβαίνει την κατώτατη έως 150 μονάδες βάσης. Η τελική απόδοση και το Επιτόκιο θα γνωστοποιηθούν στην Επιτροπή Κεφαλαιαγοράς και θα δημοσιευθούν, στον διαδικτυακό τόπο της Εκδότριας και του Χ.Α. το αργότερο την επόμενη εργάσιμη ημέρα μετά την ολοκλήρωση της Δημόσιας Προσφοράς. Τα κριτήρια και οι προϋποθέσεις βάσει των οποίων θα καθορισθούν η τελική απόδοση και το Επιτόκιο περιλαμβάνουν τις συνθήκες της αγοράς ομολόγων, το ύψος της ζήτησης ανά απόδοση από Ειδικούς Επενδυτές, το πλήθος και το είδος Ειδικών Επενδυτών, το ύψος της ζήτησης από τους Ιδιώτες Επενδυτές (στο βαθμό που η τελική κατανομή προς αυτούς ξεπεράσει το ελάχιστο ποσοστό κατανομής του 30%) και το κόστος εξυπηρέτησης της ομολογιακής έκδοσης που προτίθεται να αναλάβει η Εκδότρια. Ενδεικτικά, εάν η ζήτηση από Ειδικούς Επενδυτές καλύψει την Έκδοση μέχρι και το ανώτατο όριο του εύρους της απόδοσης αλλά ταυτόχρονα καλύπτεται σημαντικό τμήμα της Έκδοσης σε χαμηλότερο επίπεδο απόδοσης, δύναται να επιλεγεί η χαμηλότερη απόδοση, ακόμα και αν αυτό έχει ως αποτέλεσμα μικρότερο ύψος αντληθέντων κεφαλαίων και υπό την επιφύλαξη της κάλυψης της προϋπόθεσης έκδοσης των Ομολογιών. Ταυτόχρονα με τον καθορισμό της τελικής απόδοσης, θα αποφασιστεί και η οριστική κατανομή των Ομολογιών. Σε κάθε </w:t>
      </w:r>
      <w:r>
        <w:lastRenderedPageBreak/>
        <w:t>περίπτωση, το Επιτόκιο θα καθορισθεί εντός του ανακοινωθέντος δεσμευτικού εύρους της απόδοσης. Το Επιτόκιο και η Τιμή Διάθεσης θα είναι κοινά για όλους τους επενδυτές, Ειδικούς Επενδυτές και Ιδιώτες Επενδυτές, που θα συμμετάσχουν στη διάθεση Ομολογιών με Δημόσια Προσφορά. Εντός δύο (2) εργάσιμων ημερών από τη λήξη της Δημόσιας Προσφοράς, θα εκδοθεί από τους Συντονιστές Κυρίους Αναδόχους αναλυτική ανακοίνωση για την έκβαση της Δημόσιας Προσφοράς, περιλαμβανομένου του Επιτοκίου, η οποία θα δημοσιευθεί στο Ημερήσιο Δελτίο Τιμών του Χ.Α. Αναλυτικές πληροφορίες σχετικά με την τελική απόδοση και το επιτόκιο παρέχονται στην ενότητα 4.3.3 «</w:t>
      </w:r>
      <w:r w:rsidRPr="00B7532F">
        <w:t>Καθορισμός Τελικής Απόδοσης και Επιτοκίου των Ομολογιών με Δημόσια Προσφορά μέσω Βιβλίου Προσφορών</w:t>
      </w:r>
      <w:r>
        <w:t>» του Ενημερωτικού Δελτίου.</w:t>
      </w:r>
    </w:p>
    <w:p w14:paraId="53A4A56F" w14:textId="77777777" w:rsidR="00B7532F" w:rsidRPr="00B7532F" w:rsidRDefault="00B7532F" w:rsidP="007F14BC">
      <w:pPr>
        <w:rPr>
          <w:b/>
        </w:rPr>
      </w:pPr>
      <w:r w:rsidRPr="00B7532F">
        <w:rPr>
          <w:b/>
        </w:rPr>
        <w:t>ΔΙΑΔΙΚΑΣΙΑ ΠΡΟΣΦΟΡΑΣ ΤΩΝ ΟΜΟΛΟΓΙΩΝ</w:t>
      </w:r>
    </w:p>
    <w:p w14:paraId="6E6B6D16" w14:textId="4B8977D0" w:rsidR="00881C47" w:rsidRDefault="00B7532F" w:rsidP="007F14BC">
      <w:r>
        <w:t xml:space="preserve">Η διάθεση των προσφερόμενων προς κάλυψη Ομολογιών, ήτοι Ομολογιών συνολικής ονομαστικής αξίας έως €250.000.000 θα πραγματοποιηθεί με Δημόσια Προσφορά αυτών στο επενδυτικό κοινό  εντός της Ελληνικής Επικράτειας μέσω της υπηρεσίας Η.ΒΙ.Π. </w:t>
      </w:r>
    </w:p>
    <w:p w14:paraId="2A44D610" w14:textId="77777777" w:rsidR="00881C47" w:rsidRDefault="00B7532F" w:rsidP="007F14BC">
      <w:r>
        <w:t xml:space="preserve">Μονάδα διαπραγμάτευσης στο Χ.Α. θα αποτελεί ο τίτλος της μίας (1) Ομολογίας. Κάθε επενδυτής </w:t>
      </w:r>
      <w:r w:rsidR="003C5D56">
        <w:t>μπορεί να εγγράφεται και υποβάλ</w:t>
      </w:r>
      <w:r>
        <w:t xml:space="preserve">ει Αίτηση Κάλυψης για την αγορά Ομολογιών, μέσω της διαδικασίας Η.ΒΙ.Π. για μία (1) τουλάχιστον προσφερόμενη Ομολογία ή για ακέραιο αριθμό Ομολογιών. Ανώτατο όριο εγγραφής για κάθε επενδυτή είναι το σύνολο της Δημόσιας Προσφοράς, δηλαδή έως </w:t>
      </w:r>
      <w:r w:rsidR="00881C47">
        <w:t>διακόσιες πενήντα χιλιάδες (2</w:t>
      </w:r>
      <w:r>
        <w:t xml:space="preserve">50.000) Ομολογίες. Ελάχιστο όριο συμμετοχής είναι η μία (1) Ομολογία, ονομαστικής αξίας €1.000. </w:t>
      </w:r>
    </w:p>
    <w:p w14:paraId="2DD4DB09" w14:textId="77777777" w:rsidR="00B7532F" w:rsidRDefault="00B7532F" w:rsidP="007F14BC">
      <w:r>
        <w:t>Η Δημόσια Προσφορά και εγγραφή των ενδιαφερόμενων επενδυτών θα διαρκέσει τρεις (3) εργάσιμες ημέρες. Συντονιστές της διαδικασίας Η.ΒΙ.Π., κατά τα οριζόμενα στην Απόφαση Η.ΒΙ.Π., έχουν ορισθεί οι Συντονιστές Κύριοι Ανάδοχοι. Ειδικότερα, η Δη</w:t>
      </w:r>
      <w:r w:rsidR="00881C47">
        <w:t>μόσια Προσφορά θα ξεκινήσει την 10 Νοεμβ</w:t>
      </w:r>
      <w:r>
        <w:t xml:space="preserve">ρίου 2021 και ώρα Ελλάδος 10:00 π.μ. και θα ολοκληρωθεί την </w:t>
      </w:r>
      <w:r w:rsidR="00881C47">
        <w:t>12</w:t>
      </w:r>
      <w:r>
        <w:t xml:space="preserve"> </w:t>
      </w:r>
      <w:r w:rsidR="00881C47">
        <w:t>Νοεμ</w:t>
      </w:r>
      <w:r>
        <w:t>βρίου 2021 και ώρα Ελλάδος 4:00 μ.μ.</w:t>
      </w:r>
    </w:p>
    <w:p w14:paraId="59E3BD16" w14:textId="77777777" w:rsidR="003C5D56" w:rsidRDefault="003C5D56" w:rsidP="007F14BC">
      <w:r>
        <w:t xml:space="preserve">Το Η.ΒΙ.Π. θα παραμένει ανοιχτό, κατά τη διάρκεια της Δημόσιας Προσφοράς από τις 10:00 π.μ. έως τις 5:00 μ.μ., εκτός της 12 Νοεμβρίου 2021 κατά την οποία θα λήξει στις 4:00 μ.μ. </w:t>
      </w:r>
    </w:p>
    <w:p w14:paraId="10D9E683" w14:textId="77777777" w:rsidR="009C7A7C" w:rsidRDefault="003C5D56" w:rsidP="007F14BC">
      <w:r>
        <w:t xml:space="preserve">Για να συμμετάσχει ο ενδιαφερόμενος επενδυτής στη Δημόσια Προσφορά των Ομολογιών, πρέπει να υποβάλει, κατά τη διάρκεια της Δημόσιας Προσφοράς, Αίτηση Κάλυψης για τις Ομολογίες, σε συμμόρφωση με τους όρους και προϋποθέσεις του από </w:t>
      </w:r>
      <w:r w:rsidR="009C7A7C">
        <w:t xml:space="preserve">8 Νοεμβρίου </w:t>
      </w:r>
      <w:r>
        <w:t xml:space="preserve">2021 εγκεκριμένου ενημερωτικού δελτίου (εφεξής το «Ενημερωτικό Δελτίο») και του Προγράμματος ΚΟΔ. </w:t>
      </w:r>
    </w:p>
    <w:p w14:paraId="126CEA30" w14:textId="77777777" w:rsidR="009C7A7C" w:rsidRDefault="003C5D56" w:rsidP="007F14BC">
      <w:r>
        <w:t xml:space="preserve">Τροποποίηση ή ακύρωση Αίτησης Κάλυψης για την προσφορά αγοράς είναι δυνατή κατά τη διάρκεια της περιόδου της Δημόσιας Προσφοράς, ακολουθώντας διαδικασία ανάλογη της αρχικής υποβολής. </w:t>
      </w:r>
    </w:p>
    <w:p w14:paraId="7760E88F" w14:textId="77777777" w:rsidR="003C5D56" w:rsidRDefault="003C5D56" w:rsidP="007F14BC">
      <w:r>
        <w:t>Αν η Αίτηση Κάλυψης δεν είναι προσηκόντως συμπληρωμένη τηρουμένων των όρων συμμετοχής και εγγραφής στη Δημόσια Προσφορά σύμφωνα με το Ενημερωτικό Δελτίο, το Πρόγραμμα ΚΟΔ και την Απόφαση Η.ΒΙ.Π., η Αίτηση Κάλυψης δεν θα γίνεται αποδεκτή. Αναλυτικές πληροφορίες σχετικά με τη διαδικασία διάθεσης ομολογιών παρέχονται στην ενότητα 4.3.5 «</w:t>
      </w:r>
      <w:r w:rsidR="009C7A7C" w:rsidRPr="009C7A7C">
        <w:t>Διαδικασία Διάθεσης, Εγγραφής και Κατανομής των Προσφερόμενων Ομολογιών με Δημόσια Προσφορά</w:t>
      </w:r>
      <w:r>
        <w:t>» του Ενημερωτικού Δελτίου.</w:t>
      </w:r>
    </w:p>
    <w:p w14:paraId="5BC6ADD5" w14:textId="77777777" w:rsidR="009C7A7C" w:rsidRPr="009C7A7C" w:rsidRDefault="009C7A7C" w:rsidP="007F14BC">
      <w:pPr>
        <w:rPr>
          <w:b/>
        </w:rPr>
      </w:pPr>
      <w:r w:rsidRPr="009C7A7C">
        <w:rPr>
          <w:b/>
        </w:rPr>
        <w:t xml:space="preserve">ΔΙΑΔΙΚΑΣΙΑ ΣΥΜΜΕΤΟΧΗΣ ΤΩΝ ΙΔΙΩΤΩΝ ΕΠΕΝΔΥΤΩΝ ΣΤΗ ΔΗΜΟΣΙΑ ΠΡΟΣΦΟΡΑ </w:t>
      </w:r>
    </w:p>
    <w:p w14:paraId="7007B631" w14:textId="05F9DD68" w:rsidR="00E35C10" w:rsidRDefault="009C7A7C" w:rsidP="007F14BC">
      <w:r>
        <w:t xml:space="preserve">Οι ενδιαφερόμενοι Ιδιώτες Επενδυτές έχουν τη δυνατότητα να υποβάλλουν τις Αιτήσεις Κάλυψης προσερχόμενοι απευθείας στα καταστήματα των Συντονιστών Κυρίων Αναδόχων, ήτοι της «Τράπεζα </w:t>
      </w:r>
      <w:r>
        <w:rPr>
          <w:lang w:val="en-US"/>
        </w:rPr>
        <w:t>Eurobank</w:t>
      </w:r>
      <w:r w:rsidRPr="009C7A7C">
        <w:t xml:space="preserve"> </w:t>
      </w:r>
      <w:r>
        <w:t>Α.Ε.» και της «ALPHA Τράπεζα A.E.», των Κυρίων Αναδόχων, ήτοι της «Εθνική Τράπεζα της Ελλάδος Α.Ε.», της «Τράπεζα Πειραιώς Α.Ε.» και της «</w:t>
      </w:r>
      <w:r w:rsidRPr="009C7A7C">
        <w:t>ΤΡΑΠΕΖΑ OPTIMA</w:t>
      </w:r>
      <w:r>
        <w:t xml:space="preserve"> BANK Α.Ε.» και των Αναδόχων </w:t>
      </w:r>
      <w:r w:rsidR="00EE2D05">
        <w:t>«</w:t>
      </w:r>
      <w:r w:rsidR="00EE2D05" w:rsidRPr="009C7A7C">
        <w:t xml:space="preserve">AXIA </w:t>
      </w:r>
      <w:proofErr w:type="spellStart"/>
      <w:r w:rsidR="00EE2D05" w:rsidRPr="009C7A7C">
        <w:t>Ventures</w:t>
      </w:r>
      <w:proofErr w:type="spellEnd"/>
      <w:r w:rsidR="00EE2D05" w:rsidRPr="009C7A7C">
        <w:t xml:space="preserve"> </w:t>
      </w:r>
      <w:proofErr w:type="spellStart"/>
      <w:r w:rsidR="00EE2D05" w:rsidRPr="009C7A7C">
        <w:t>Group</w:t>
      </w:r>
      <w:proofErr w:type="spellEnd"/>
      <w:r w:rsidR="00EE2D05" w:rsidRPr="009C7A7C">
        <w:t xml:space="preserve"> </w:t>
      </w:r>
      <w:proofErr w:type="spellStart"/>
      <w:r w:rsidR="00EE2D05" w:rsidRPr="009C7A7C">
        <w:t>Ltd</w:t>
      </w:r>
      <w:proofErr w:type="spellEnd"/>
      <w:r w:rsidR="00EE2D05">
        <w:t>»</w:t>
      </w:r>
      <w:r w:rsidR="00EE2D05" w:rsidRPr="009C7A7C">
        <w:t xml:space="preserve"> </w:t>
      </w:r>
      <w:r w:rsidR="00EE2D05">
        <w:t xml:space="preserve">και </w:t>
      </w:r>
      <w:r>
        <w:t>«</w:t>
      </w:r>
      <w:proofErr w:type="spellStart"/>
      <w:r>
        <w:t>Euroxx</w:t>
      </w:r>
      <w:proofErr w:type="spellEnd"/>
      <w:r>
        <w:t xml:space="preserve"> Χρηματιστηριακής Α.Ε.Π.Ε.Υ.» καθώς και μέσω των Μελών Η.ΒΙ.Π. και των Συμμετεχόντων στο Σ.Α.Τ. που συνεργάζονται με τα Μέλη Η.ΒΙ.Π. για την υποβολή των Αιτήσεων Κάλυψης μέσω της υπηρεσίας Η.ΒΙ.Π. </w:t>
      </w:r>
    </w:p>
    <w:p w14:paraId="72E572A1" w14:textId="77777777" w:rsidR="00E35C10" w:rsidRDefault="009C7A7C" w:rsidP="007F14BC">
      <w:r>
        <w:t xml:space="preserve">Για τη συμμετοχή τους στη Δημόσια Προσφορά, οι ενδιαφερόμενοι Ιδιώτες Επενδυτές που θα προσέρχονται απευθείας στα καταστήματα </w:t>
      </w:r>
      <w:r w:rsidR="00E35C10" w:rsidRPr="00E35C10">
        <w:t xml:space="preserve">των </w:t>
      </w:r>
      <w:r w:rsidR="00E35C10">
        <w:t xml:space="preserve">Συντονιστών Κύριων Αναδόχων, </w:t>
      </w:r>
      <w:r w:rsidR="00E35C10" w:rsidRPr="00E35C10">
        <w:t xml:space="preserve">των Κύριων Αναδόχων </w:t>
      </w:r>
      <w:r w:rsidR="00E35C10" w:rsidRPr="00E35C10">
        <w:lastRenderedPageBreak/>
        <w:t xml:space="preserve">και των Αναδόχων, </w:t>
      </w:r>
      <w:r>
        <w:t>θα πρέπει να προσκομίζουν το δελτίο αστυνομικής ταυτότητας ή το διαβατήριό τους, τον αριθμό φορολογικού μητρώου τους και την εκτύπωση των στοιχείων του Σ.Α.Τ.</w:t>
      </w:r>
    </w:p>
    <w:p w14:paraId="676B7C01" w14:textId="77777777" w:rsidR="00E35C10" w:rsidRDefault="009C7A7C" w:rsidP="007F14BC">
      <w:r>
        <w:t xml:space="preserve">Σε περίπτωση υποβληθείσας Αίτησης Κάλυψης για Ιδιώτη Επενδυτή μέσω Λογαριασμού Αξιογράφων Πελάτη, συμπεριλαμβανομένης και της Κοινής Επενδυτικής Μερίδας, η εν λόγω αίτηση θα γίνεται δεκτή, μόνο εφόσον ο εν λόγω Ιδιώτης Επενδυτής είναι δικαιούχος ή </w:t>
      </w:r>
      <w:proofErr w:type="spellStart"/>
      <w:r>
        <w:t>συνδικαιούχος</w:t>
      </w:r>
      <w:proofErr w:type="spellEnd"/>
      <w:r>
        <w:t xml:space="preserve"> των Λογαριασμών Αξιογράφων βάσει των οποίων εγγράφεται. </w:t>
      </w:r>
    </w:p>
    <w:p w14:paraId="21811366" w14:textId="77777777" w:rsidR="00E44F97" w:rsidRDefault="009C7A7C" w:rsidP="007F14BC">
      <w:r>
        <w:t xml:space="preserve">Οι ενδιαφερόμενοι Ιδιώτες Επενδυτές θα εγγράφονται στην κατώτατη απόδοση του εύρους που θα ανακοινωθεί την προτεραία της πρώτης ημέρας της Δημόσιας Προσφοράς. Ως αξία της συμμετοχής για τους Ιδιώτες Επενδυτές ορίζεται το γινόμενο του αριθμού των αιτούμενων Ομολογιών επί την ονομαστική αξία €1.000 εκάστης Ομολογίας. </w:t>
      </w:r>
    </w:p>
    <w:p w14:paraId="6FD1EC25" w14:textId="77777777" w:rsidR="009C7A7C" w:rsidRDefault="009C7A7C" w:rsidP="007F14BC">
      <w:r>
        <w:t>Αναλυτικές πληροφορίες σχετικά με τη συμμετοχή Ιδιωτών Επενδυτών παρέχονται στην ενότητα 4.</w:t>
      </w:r>
      <w:r w:rsidR="00E35C10">
        <w:t>3</w:t>
      </w:r>
      <w:r>
        <w:t>.5 «</w:t>
      </w:r>
      <w:r w:rsidR="00E35C10" w:rsidRPr="00E35C10">
        <w:t>Διαδικασία Διάθεσης, Εγγραφής και Κατανομής των Προσφερόμενων Ομολογιών με Δημόσια Προσφορά</w:t>
      </w:r>
      <w:r>
        <w:t>» του Ενημερωτικού Δελτίου.</w:t>
      </w:r>
    </w:p>
    <w:p w14:paraId="635D3B34" w14:textId="77777777" w:rsidR="00E44F97" w:rsidRPr="00E44F97" w:rsidRDefault="00E44F97" w:rsidP="007F14BC">
      <w:pPr>
        <w:rPr>
          <w:b/>
        </w:rPr>
      </w:pPr>
      <w:r w:rsidRPr="00E44F97">
        <w:rPr>
          <w:b/>
        </w:rPr>
        <w:t xml:space="preserve">ΔΙΑΔΙΚΑΣΙΑ ΣΥΜΜΕΤΟΧΗΣ ΤΩΝ ΕΙΔΙΚΩΝ ΕΠΕΝΔΥΤΩΝ ΣΤΟ ΗΛΕΚΤΡΟΝΙΚΟ ΒΙΒΛΙΟ ΠΡΟΣΦΟΡΩΝ </w:t>
      </w:r>
    </w:p>
    <w:p w14:paraId="0AB52C29" w14:textId="77777777" w:rsidR="00E44F97" w:rsidRDefault="00E44F97" w:rsidP="007F14BC">
      <w:r>
        <w:t>Οι ενδιαφερόμενοι Ειδικοί Επενδυτές, υποβάλλουν τις Αιτήσεις Κάλυψης απευθείας στους Συντονιστές Κυρίους Αναδόχους</w:t>
      </w:r>
      <w:r w:rsidR="0091000F">
        <w:t>, τους Κύριους Αναδόχους</w:t>
      </w:r>
      <w:r>
        <w:t xml:space="preserve"> και </w:t>
      </w:r>
      <w:r w:rsidR="0091000F">
        <w:t>τους Αναδόχους</w:t>
      </w:r>
      <w:r>
        <w:t xml:space="preserve"> υποβάλλοντας τη σχετική Αίτηση Κάλυψης. </w:t>
      </w:r>
    </w:p>
    <w:p w14:paraId="636BD472" w14:textId="77777777" w:rsidR="00E44F97" w:rsidRDefault="00E44F97" w:rsidP="007F14BC">
      <w:r>
        <w:t xml:space="preserve">Η διαδικασία υποβολής των προσφορών των Ειδικών Επενδυτών θα διαρκέσει από την πρώτη μέχρι και την τελευταία ημέρα της Δημόσιας Προσφοράς. </w:t>
      </w:r>
    </w:p>
    <w:p w14:paraId="3AC1F20E" w14:textId="77777777" w:rsidR="00E44F97" w:rsidRDefault="00E44F97" w:rsidP="007F14BC">
      <w:r>
        <w:t xml:space="preserve">Η απόδοση που θα συμπεριλαμβάνεται στην Αίτηση Κάλυψης, εντός του εύρους που θα ανακοινωθεί, θα είναι με βήμα 5 μονάδων βάσης, ήτοι του 0,050%. </w:t>
      </w:r>
    </w:p>
    <w:p w14:paraId="3D6FD85B" w14:textId="77777777" w:rsidR="0091000F" w:rsidRDefault="00E44F97" w:rsidP="007F14BC">
      <w:r>
        <w:t xml:space="preserve">Οι προσφορές που θα υποβάλλουν οι Ειδικοί Επενδυτές θα συγκεντρώνονται κατά τη διάρκεια της διαδικασίας στο Ηλεκτρονικό Βιβλίο Προσφορών, που θα διαχειρίζονται οι Συντονιστές Κύριοι Ανάδοχοι, για το σκοπό του προσδιορισμού της ζητούμενης ποσότητας σε εναλλακτικές αποδόσεις, καθώς και του συνολικού αριθμού ζητούμενων Ομολογιών. </w:t>
      </w:r>
    </w:p>
    <w:p w14:paraId="06CBE9AA" w14:textId="77777777" w:rsidR="0091000F" w:rsidRDefault="00E44F97" w:rsidP="007F14BC">
      <w:r>
        <w:t xml:space="preserve">Το Ηλεκτρονικό Βιβλίο Προσφορών θα κλείσει την τελευταία ημέρα της περιόδου Δημόσιας Προσφοράς (ώρα Ελλάδος 4:00 μ.μ.), οπότε όλες οι προσφορές όπως ισχύουν εκείνη τη στιγμή θεωρούνται οριστικές. </w:t>
      </w:r>
    </w:p>
    <w:p w14:paraId="57CFC0A0" w14:textId="77777777" w:rsidR="00E35C10" w:rsidRDefault="00E44F97" w:rsidP="007F14BC">
      <w:r>
        <w:t>Αναλυτικές πληροφορίες για τη συμμετοχή των Ειδικών Επενδυτών παρέχονται στην ενότητα 4.</w:t>
      </w:r>
      <w:r w:rsidR="0091000F">
        <w:t>3</w:t>
      </w:r>
      <w:r>
        <w:t>.5 «</w:t>
      </w:r>
      <w:r w:rsidR="0091000F" w:rsidRPr="0091000F">
        <w:t>Διαδικασία Διάθεσης, Εγγραφής και Κατανομής των Προσφερόμενων Ομολογιών με Δημόσια Προσφορά</w:t>
      </w:r>
      <w:r>
        <w:t>» του Ενημερωτικού Δελτίου.</w:t>
      </w:r>
    </w:p>
    <w:p w14:paraId="581D97DC" w14:textId="77777777" w:rsidR="00484C35" w:rsidRPr="00484C35" w:rsidRDefault="00484C35" w:rsidP="007F14BC">
      <w:pPr>
        <w:rPr>
          <w:b/>
        </w:rPr>
      </w:pPr>
      <w:r w:rsidRPr="00484C35">
        <w:rPr>
          <w:b/>
        </w:rPr>
        <w:t xml:space="preserve">ΔΙΑΔΙΚΑΣΙΑ ΚΑΤΑΝΟΜΗΣ </w:t>
      </w:r>
    </w:p>
    <w:p w14:paraId="0257B5AE" w14:textId="77777777" w:rsidR="00484C35" w:rsidRDefault="00484C35" w:rsidP="007F14BC">
      <w:r>
        <w:t>Μετά τον προσδιορισμό της τελικής απόδοσης και του Επιτοκίου, οι Συντονιστές Κύριοι Ανάδοχοι θα καθορίσουν το ύψος της Έκδοσης και στη συνέχεια, θα πραγματοποιηθεί η κατανομή των Ομολογιών στους επενδυτές, ως εξής:</w:t>
      </w:r>
    </w:p>
    <w:p w14:paraId="79E1971E" w14:textId="77777777" w:rsidR="00484C35" w:rsidRPr="007B7BD1" w:rsidRDefault="00484C35" w:rsidP="00484C35">
      <w:pPr>
        <w:numPr>
          <w:ilvl w:val="0"/>
          <w:numId w:val="1"/>
        </w:numPr>
        <w:spacing w:before="60" w:after="60" w:line="264" w:lineRule="auto"/>
        <w:ind w:left="709" w:hanging="425"/>
        <w:rPr>
          <w:rFonts w:cs="Calibri"/>
          <w:szCs w:val="20"/>
          <w:lang w:eastAsia="el-GR"/>
        </w:rPr>
      </w:pPr>
      <w:r w:rsidRPr="007B7BD1">
        <w:rPr>
          <w:rFonts w:cs="Calibri"/>
          <w:szCs w:val="20"/>
          <w:lang w:eastAsia="el-GR"/>
        </w:rPr>
        <w:t xml:space="preserve">ποσοστό τουλάχιστον 30% των Ομολογιών της Δημόσιας Προσφοράς (ήτοι τουλάχιστον 75.000 Ομολογίες σε ενδεχόμενη πλήρη κάλυψη του ΚΟΔ, ήτοι έκδοση 250.000 Ομολογιών) θα διατεθεί για την ικανοποίηση των εγγραφών των Ιδιωτών Επενδυτών, και </w:t>
      </w:r>
    </w:p>
    <w:p w14:paraId="5E6F61F8" w14:textId="77777777" w:rsidR="00484C35" w:rsidRPr="007B7BD1" w:rsidRDefault="00484C35" w:rsidP="00484C35">
      <w:pPr>
        <w:numPr>
          <w:ilvl w:val="0"/>
          <w:numId w:val="1"/>
        </w:numPr>
        <w:spacing w:before="60" w:after="60" w:line="264" w:lineRule="auto"/>
        <w:ind w:left="709" w:hanging="425"/>
        <w:rPr>
          <w:rFonts w:cs="Calibri"/>
          <w:szCs w:val="20"/>
          <w:lang w:eastAsia="el-GR"/>
        </w:rPr>
      </w:pPr>
      <w:r w:rsidRPr="007B7BD1">
        <w:rPr>
          <w:rFonts w:cs="Calibri"/>
          <w:szCs w:val="20"/>
          <w:lang w:eastAsia="el-GR"/>
        </w:rPr>
        <w:t xml:space="preserve">ποσοστό έως και 70% των Ομολογιών της Δημόσιας Προσφοράς (ήτοι, έως και 175.000 Ομολογίες σε ενδεχόμενη πλήρη κάλυψη του ΚΟΔ, ήτοι έκδοση 250.000 Ομολογιών) θα κατανεμηθεί μεταξύ των Ειδικών Επενδυτών και των Ιδιωτών Επενδυτών. </w:t>
      </w:r>
    </w:p>
    <w:p w14:paraId="720E529D" w14:textId="77777777" w:rsidR="00484C35" w:rsidRPr="007B7BD1" w:rsidRDefault="00484C35" w:rsidP="00484C35">
      <w:pPr>
        <w:rPr>
          <w:rFonts w:cs="Calibri"/>
          <w:szCs w:val="20"/>
          <w:lang w:eastAsia="el-GR"/>
        </w:rPr>
      </w:pPr>
      <w:r w:rsidRPr="007B7BD1">
        <w:rPr>
          <w:rFonts w:cs="Calibri"/>
          <w:szCs w:val="20"/>
          <w:lang w:eastAsia="el-GR"/>
        </w:rPr>
        <w:t xml:space="preserve">Εφόσον έχουν ικανοποιηθεί οι εγγραφές των Ιδιωτών Επενδυτών για το 30% των Ομολογιών της Δημόσιας Προσφοράς, για τον τελικό προσδιορισμό του ποσοστού κατανομής ανά κατηγορία επενδυτών θα ληφθούν υπόψη: </w:t>
      </w:r>
    </w:p>
    <w:p w14:paraId="2A8443FA" w14:textId="77777777" w:rsidR="00484C35" w:rsidRDefault="00484C35" w:rsidP="007F14BC">
      <w:r>
        <w:lastRenderedPageBreak/>
        <w:t xml:space="preserve">α) η ζήτηση από τους Ειδικούς Επενδυτές, β) η ζήτηση στο υπολειπόμενο του 30% τμήμα των Ιδιωτών Επενδυτών, γ) το πλήθος των Αιτήσεων Κάλυψης που αφορούν σε Ιδιώτες Επενδυτές, καθώς και δ) η ανάγκη δημιουργίας συνθηκών για την ομαλή διαπραγμάτευση των Ομολογιών στη δευτερογενή αγορά. </w:t>
      </w:r>
    </w:p>
    <w:p w14:paraId="2F3099E0" w14:textId="77777777" w:rsidR="00484C35" w:rsidRDefault="00484C35" w:rsidP="007F14BC">
      <w:r>
        <w:t>Αναλυτικές πληροφορίες σχετικά με τη διαδικασία κατανομής παρέχονται στην ενότητα 4.3.6 «</w:t>
      </w:r>
      <w:r w:rsidRPr="00484C35">
        <w:t>Διαδικασία Κατανομής της Δημόσιας Προσφοράς</w:t>
      </w:r>
      <w:r>
        <w:t>» του Ενημερωτικού Δελτίου.</w:t>
      </w:r>
    </w:p>
    <w:p w14:paraId="768BE7DC" w14:textId="77777777" w:rsidR="00484C35" w:rsidRPr="00484C35" w:rsidRDefault="00484C35" w:rsidP="007F14BC">
      <w:pPr>
        <w:rPr>
          <w:b/>
        </w:rPr>
      </w:pPr>
      <w:r w:rsidRPr="00484C35">
        <w:rPr>
          <w:b/>
        </w:rPr>
        <w:t xml:space="preserve">ΔΙΑΘΕΣΗ ΕΝΗΜΕΡΩΤΙΚΟΥ ΔΕΛΤΙΟΥ </w:t>
      </w:r>
    </w:p>
    <w:p w14:paraId="704AD9AE" w14:textId="77777777" w:rsidR="00484C35" w:rsidRDefault="00484C35" w:rsidP="007F14BC">
      <w:r>
        <w:t>Περαιτέρω πληροφορίες για την Εκδότρια, τις Ομολογίες και τον τρόπο διάθεσης αυτών, περιλαμβάνονται στο Ενημερωτικό Δελτίο, μόνο όσον αφορά στην κάλυψη των αναγκών πληροφόρησης του επενδυτικού κοινού, βάσει του Κανονισμού (ΕΕ) 2017/1129, των κατ’ εξουσιοδότηση Κανονισ</w:t>
      </w:r>
      <w:r w:rsidR="00395BF3">
        <w:t>μών (ΕΕ) 2019/979 και 2019/980</w:t>
      </w:r>
      <w:r>
        <w:t xml:space="preserve"> και του Ν. 4706/2020 ως ισχύουν. </w:t>
      </w:r>
    </w:p>
    <w:p w14:paraId="028DE4AC" w14:textId="77777777" w:rsidR="00484C35" w:rsidRDefault="00484C35" w:rsidP="007F14BC">
      <w:r>
        <w:t>Το Ενημερωτικό Δελτίο, όπως εγκρίθηκε από το Διοικητικό Συμβούλιο της Επιτροπής Κεφαλαιαγοράς στις 8.11.2021, θα είναι διαθέσιμο στο επενδυτικό κοινό, σύμφωνα με το άρθρο 21, παρ. 2 του Κανονισμού (ΕΕ) 2017/1129, σε ηλεκτρονική μορφή στις ακόλουθες ιστοσελίδες:</w:t>
      </w:r>
    </w:p>
    <w:p w14:paraId="07EC6257" w14:textId="77777777" w:rsidR="009479F5" w:rsidRPr="009479F5" w:rsidRDefault="009479F5" w:rsidP="009479F5">
      <w:pPr>
        <w:numPr>
          <w:ilvl w:val="0"/>
          <w:numId w:val="3"/>
        </w:numPr>
        <w:spacing w:after="0" w:line="264" w:lineRule="auto"/>
        <w:ind w:left="284" w:hanging="284"/>
        <w:jc w:val="left"/>
        <w:rPr>
          <w:rStyle w:val="Hyperlink"/>
          <w:rFonts w:asciiTheme="majorHAnsi" w:hAnsiTheme="majorHAnsi" w:cstheme="majorHAnsi"/>
          <w:color w:val="auto"/>
          <w:szCs w:val="20"/>
        </w:rPr>
      </w:pPr>
      <w:bookmarkStart w:id="1" w:name="_Hlk76476839"/>
      <w:r w:rsidRPr="009479F5">
        <w:rPr>
          <w:rFonts w:asciiTheme="majorHAnsi" w:hAnsiTheme="majorHAnsi" w:cstheme="majorHAnsi"/>
          <w:szCs w:val="20"/>
        </w:rPr>
        <w:t>της «Ελληνικά Χρηματιστήρια Α.Ε. - Χρηματιστήριο Αθηνών»:</w:t>
      </w:r>
      <w:r w:rsidRPr="009479F5">
        <w:rPr>
          <w:rFonts w:asciiTheme="majorHAnsi" w:hAnsiTheme="majorHAnsi" w:cstheme="majorHAnsi"/>
        </w:rPr>
        <w:t xml:space="preserve"> </w:t>
      </w:r>
      <w:hyperlink r:id="rId14" w:history="1">
        <w:r w:rsidRPr="009479F5">
          <w:rPr>
            <w:rStyle w:val="Hyperlink"/>
            <w:rFonts w:asciiTheme="majorHAnsi" w:hAnsiTheme="majorHAnsi" w:cstheme="majorHAnsi"/>
            <w:color w:val="auto"/>
          </w:rPr>
          <w:t>athexgroup.gr/</w:t>
        </w:r>
        <w:proofErr w:type="spellStart"/>
        <w:r w:rsidRPr="009479F5">
          <w:rPr>
            <w:rStyle w:val="Hyperlink"/>
            <w:rFonts w:asciiTheme="majorHAnsi" w:hAnsiTheme="majorHAnsi" w:cstheme="majorHAnsi"/>
            <w:color w:val="auto"/>
          </w:rPr>
          <w:t>el</w:t>
        </w:r>
        <w:proofErr w:type="spellEnd"/>
        <w:r w:rsidRPr="009479F5">
          <w:rPr>
            <w:rStyle w:val="Hyperlink"/>
            <w:rFonts w:asciiTheme="majorHAnsi" w:hAnsiTheme="majorHAnsi" w:cstheme="majorHAnsi"/>
            <w:color w:val="auto"/>
          </w:rPr>
          <w:t>/</w:t>
        </w:r>
        <w:proofErr w:type="spellStart"/>
        <w:r w:rsidRPr="009479F5">
          <w:rPr>
            <w:rStyle w:val="Hyperlink"/>
            <w:rFonts w:asciiTheme="majorHAnsi" w:hAnsiTheme="majorHAnsi" w:cstheme="majorHAnsi"/>
            <w:color w:val="auto"/>
          </w:rPr>
          <w:t>web</w:t>
        </w:r>
        <w:proofErr w:type="spellEnd"/>
        <w:r w:rsidRPr="009479F5">
          <w:rPr>
            <w:rStyle w:val="Hyperlink"/>
            <w:rFonts w:asciiTheme="majorHAnsi" w:hAnsiTheme="majorHAnsi" w:cstheme="majorHAnsi"/>
            <w:color w:val="auto"/>
          </w:rPr>
          <w:t>/</w:t>
        </w:r>
        <w:proofErr w:type="spellStart"/>
        <w:r w:rsidRPr="009479F5">
          <w:rPr>
            <w:rStyle w:val="Hyperlink"/>
            <w:rFonts w:asciiTheme="majorHAnsi" w:hAnsiTheme="majorHAnsi" w:cstheme="majorHAnsi"/>
            <w:color w:val="auto"/>
          </w:rPr>
          <w:t>guest</w:t>
        </w:r>
        <w:proofErr w:type="spellEnd"/>
        <w:r w:rsidRPr="009479F5">
          <w:rPr>
            <w:rStyle w:val="Hyperlink"/>
            <w:rFonts w:asciiTheme="majorHAnsi" w:hAnsiTheme="majorHAnsi" w:cstheme="majorHAnsi"/>
            <w:color w:val="auto"/>
          </w:rPr>
          <w:t>/</w:t>
        </w:r>
        <w:proofErr w:type="spellStart"/>
        <w:r w:rsidRPr="009479F5">
          <w:rPr>
            <w:rStyle w:val="Hyperlink"/>
            <w:rFonts w:asciiTheme="majorHAnsi" w:hAnsiTheme="majorHAnsi" w:cstheme="majorHAnsi"/>
            <w:color w:val="auto"/>
          </w:rPr>
          <w:t>companies-new-listings</w:t>
        </w:r>
        <w:proofErr w:type="spellEnd"/>
      </w:hyperlink>
      <w:r w:rsidRPr="009479F5">
        <w:rPr>
          <w:rStyle w:val="Hyperlink"/>
          <w:rFonts w:asciiTheme="majorHAnsi" w:hAnsiTheme="majorHAnsi" w:cstheme="majorHAnsi"/>
          <w:color w:val="auto"/>
        </w:rPr>
        <w:t>,</w:t>
      </w:r>
    </w:p>
    <w:p w14:paraId="128555E3" w14:textId="77777777" w:rsidR="009479F5" w:rsidRPr="009479F5" w:rsidRDefault="009479F5" w:rsidP="009479F5">
      <w:pPr>
        <w:numPr>
          <w:ilvl w:val="0"/>
          <w:numId w:val="3"/>
        </w:numPr>
        <w:spacing w:after="0" w:line="264" w:lineRule="auto"/>
        <w:ind w:left="284" w:hanging="284"/>
        <w:jc w:val="left"/>
        <w:rPr>
          <w:rStyle w:val="Hyperlink"/>
          <w:rFonts w:asciiTheme="majorHAnsi" w:hAnsiTheme="majorHAnsi" w:cstheme="majorHAnsi"/>
          <w:color w:val="auto"/>
          <w:szCs w:val="20"/>
        </w:rPr>
      </w:pPr>
      <w:r w:rsidRPr="009479F5">
        <w:rPr>
          <w:rFonts w:asciiTheme="majorHAnsi" w:hAnsiTheme="majorHAnsi" w:cstheme="majorHAnsi"/>
          <w:szCs w:val="20"/>
        </w:rPr>
        <w:t xml:space="preserve">της Επιτροπής Κεφαλαιαγοράς: </w:t>
      </w:r>
      <w:hyperlink r:id="rId15" w:history="1">
        <w:r w:rsidRPr="009479F5">
          <w:rPr>
            <w:rStyle w:val="Hyperlink"/>
            <w:rFonts w:asciiTheme="majorHAnsi" w:hAnsiTheme="majorHAnsi" w:cstheme="majorHAnsi"/>
            <w:color w:val="auto"/>
          </w:rPr>
          <w:t>w</w:t>
        </w:r>
        <w:r w:rsidRPr="009479F5">
          <w:rPr>
            <w:rStyle w:val="Hyperlink"/>
            <w:rFonts w:asciiTheme="majorHAnsi" w:hAnsiTheme="majorHAnsi" w:cstheme="majorHAnsi"/>
            <w:color w:val="auto"/>
            <w:szCs w:val="20"/>
          </w:rPr>
          <w:t>ww.hcmc.gr/el_GR/web/portal/elib/del</w:t>
        </w:r>
        <w:r w:rsidRPr="009479F5">
          <w:rPr>
            <w:rStyle w:val="Hyperlink"/>
            <w:rFonts w:asciiTheme="majorHAnsi" w:hAnsiTheme="majorHAnsi" w:cstheme="majorHAnsi"/>
            <w:color w:val="auto"/>
          </w:rPr>
          <w:t>tia</w:t>
        </w:r>
      </w:hyperlink>
      <w:r w:rsidRPr="009479F5">
        <w:rPr>
          <w:rStyle w:val="Hyperlink"/>
          <w:rFonts w:asciiTheme="majorHAnsi" w:hAnsiTheme="majorHAnsi" w:cstheme="majorHAnsi"/>
          <w:color w:val="auto"/>
        </w:rPr>
        <w:t>,</w:t>
      </w:r>
    </w:p>
    <w:p w14:paraId="203C945F" w14:textId="77777777" w:rsidR="009479F5" w:rsidRPr="009479F5" w:rsidRDefault="009479F5" w:rsidP="009479F5">
      <w:pPr>
        <w:numPr>
          <w:ilvl w:val="0"/>
          <w:numId w:val="3"/>
        </w:numPr>
        <w:spacing w:after="0" w:line="264" w:lineRule="auto"/>
        <w:ind w:left="284" w:hanging="284"/>
        <w:jc w:val="left"/>
        <w:rPr>
          <w:rFonts w:asciiTheme="majorHAnsi" w:hAnsiTheme="majorHAnsi" w:cstheme="majorHAnsi"/>
        </w:rPr>
      </w:pPr>
      <w:r w:rsidRPr="009479F5">
        <w:rPr>
          <w:rFonts w:asciiTheme="majorHAnsi" w:hAnsiTheme="majorHAnsi" w:cstheme="majorHAnsi"/>
          <w:szCs w:val="20"/>
        </w:rPr>
        <w:t xml:space="preserve">της Εκδότριας: </w:t>
      </w:r>
      <w:hyperlink r:id="rId16" w:history="1">
        <w:r w:rsidRPr="009479F5">
          <w:rPr>
            <w:rStyle w:val="Hyperlink"/>
            <w:rFonts w:asciiTheme="majorHAnsi" w:hAnsiTheme="majorHAnsi" w:cstheme="majorHAnsi"/>
            <w:color w:val="auto"/>
          </w:rPr>
          <w:t>https://www.elvalhalcor.com/el/investor-relations/shareholder-information/press-release-and-other-announcements/</w:t>
        </w:r>
      </w:hyperlink>
      <w:r w:rsidRPr="009479F5">
        <w:rPr>
          <w:rFonts w:asciiTheme="majorHAnsi" w:hAnsiTheme="majorHAnsi" w:cstheme="majorHAnsi"/>
          <w:szCs w:val="20"/>
        </w:rPr>
        <w:t xml:space="preserve"> ,</w:t>
      </w:r>
    </w:p>
    <w:p w14:paraId="4F14CF1C" w14:textId="77777777" w:rsidR="009479F5" w:rsidRPr="009479F5" w:rsidRDefault="009479F5" w:rsidP="009479F5">
      <w:pPr>
        <w:numPr>
          <w:ilvl w:val="0"/>
          <w:numId w:val="3"/>
        </w:numPr>
        <w:spacing w:after="0" w:line="264" w:lineRule="auto"/>
        <w:ind w:left="284" w:hanging="284"/>
        <w:jc w:val="left"/>
        <w:rPr>
          <w:rFonts w:asciiTheme="majorHAnsi" w:hAnsiTheme="majorHAnsi" w:cstheme="majorHAnsi"/>
          <w:szCs w:val="20"/>
        </w:rPr>
      </w:pPr>
      <w:r w:rsidRPr="009479F5">
        <w:rPr>
          <w:rFonts w:asciiTheme="majorHAnsi" w:hAnsiTheme="majorHAnsi" w:cstheme="majorHAnsi"/>
          <w:szCs w:val="20"/>
        </w:rPr>
        <w:t>της «</w:t>
      </w:r>
      <w:r w:rsidRPr="009479F5">
        <w:rPr>
          <w:rFonts w:asciiTheme="majorHAnsi" w:hAnsiTheme="majorHAnsi" w:cstheme="majorHAnsi"/>
        </w:rPr>
        <w:t>Τράπεζα EUROBANK Α.Ε.»:</w:t>
      </w:r>
      <w:r w:rsidRPr="009479F5">
        <w:rPr>
          <w:rFonts w:asciiTheme="majorHAnsi" w:hAnsiTheme="majorHAnsi" w:cstheme="majorHAnsi"/>
          <w:szCs w:val="20"/>
        </w:rPr>
        <w:t xml:space="preserve"> </w:t>
      </w:r>
      <w:hyperlink r:id="rId17" w:history="1">
        <w:r w:rsidRPr="009479F5">
          <w:rPr>
            <w:rStyle w:val="Hyperlink"/>
            <w:rFonts w:asciiTheme="majorHAnsi" w:hAnsiTheme="majorHAnsi" w:cstheme="majorHAnsi"/>
            <w:color w:val="auto"/>
            <w:szCs w:val="20"/>
            <w:lang w:val="en-US"/>
          </w:rPr>
          <w:t>https</w:t>
        </w:r>
        <w:r w:rsidRPr="009479F5">
          <w:rPr>
            <w:rStyle w:val="Hyperlink"/>
            <w:rFonts w:asciiTheme="majorHAnsi" w:hAnsiTheme="majorHAnsi" w:cstheme="majorHAnsi"/>
            <w:color w:val="auto"/>
            <w:szCs w:val="20"/>
          </w:rPr>
          <w:t>://</w:t>
        </w:r>
        <w:r w:rsidRPr="009479F5">
          <w:rPr>
            <w:rStyle w:val="Hyperlink"/>
            <w:rFonts w:asciiTheme="majorHAnsi" w:hAnsiTheme="majorHAnsi" w:cstheme="majorHAnsi"/>
            <w:color w:val="auto"/>
            <w:szCs w:val="20"/>
            <w:lang w:val="en-US"/>
          </w:rPr>
          <w:t>www</w:t>
        </w:r>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eurobank</w:t>
        </w:r>
        <w:proofErr w:type="spellEnd"/>
        <w:r w:rsidRPr="009479F5">
          <w:rPr>
            <w:rStyle w:val="Hyperlink"/>
            <w:rFonts w:asciiTheme="majorHAnsi" w:hAnsiTheme="majorHAnsi" w:cstheme="majorHAnsi"/>
            <w:color w:val="auto"/>
            <w:szCs w:val="20"/>
          </w:rPr>
          <w:t>.</w:t>
        </w:r>
        <w:r w:rsidRPr="009479F5">
          <w:rPr>
            <w:rStyle w:val="Hyperlink"/>
            <w:rFonts w:asciiTheme="majorHAnsi" w:hAnsiTheme="majorHAnsi" w:cstheme="majorHAnsi"/>
            <w:color w:val="auto"/>
            <w:szCs w:val="20"/>
            <w:lang w:val="en-US"/>
          </w:rPr>
          <w:t>gr</w:t>
        </w:r>
        <w:r w:rsidRPr="009479F5">
          <w:rPr>
            <w:rStyle w:val="Hyperlink"/>
            <w:rFonts w:asciiTheme="majorHAnsi" w:hAnsiTheme="majorHAnsi" w:cstheme="majorHAnsi"/>
            <w:color w:val="auto"/>
            <w:szCs w:val="20"/>
          </w:rPr>
          <w:t>/</w:t>
        </w:r>
        <w:r w:rsidRPr="009479F5">
          <w:rPr>
            <w:rStyle w:val="Hyperlink"/>
            <w:rFonts w:asciiTheme="majorHAnsi" w:hAnsiTheme="majorHAnsi" w:cstheme="majorHAnsi"/>
            <w:color w:val="auto"/>
            <w:szCs w:val="20"/>
            <w:lang w:val="en-US"/>
          </w:rPr>
          <w:t>el</w:t>
        </w:r>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omilos</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enimerosi</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ependuton</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enimerotika</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deltia</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enimerotika</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deltia</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sumboulos</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anadoxos</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trapeza</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eurobank</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ergasias</w:t>
        </w:r>
        <w:proofErr w:type="spellEnd"/>
        <w:r w:rsidRPr="009479F5">
          <w:rPr>
            <w:rStyle w:val="Hyperlink"/>
            <w:rFonts w:asciiTheme="majorHAnsi" w:hAnsiTheme="majorHAnsi" w:cstheme="majorHAnsi"/>
            <w:color w:val="auto"/>
            <w:szCs w:val="20"/>
          </w:rPr>
          <w:t>-</w:t>
        </w:r>
        <w:r w:rsidRPr="009479F5">
          <w:rPr>
            <w:rStyle w:val="Hyperlink"/>
            <w:rFonts w:asciiTheme="majorHAnsi" w:hAnsiTheme="majorHAnsi" w:cstheme="majorHAnsi"/>
            <w:color w:val="auto"/>
            <w:szCs w:val="20"/>
            <w:lang w:val="en-US"/>
          </w:rPr>
          <w:t>ae</w:t>
        </w:r>
      </w:hyperlink>
      <w:r w:rsidRPr="009479F5">
        <w:rPr>
          <w:rFonts w:asciiTheme="majorHAnsi" w:hAnsiTheme="majorHAnsi" w:cstheme="majorHAnsi"/>
          <w:szCs w:val="20"/>
        </w:rPr>
        <w:t>,</w:t>
      </w:r>
    </w:p>
    <w:bookmarkEnd w:id="1"/>
    <w:p w14:paraId="6C5A53C3" w14:textId="77777777" w:rsidR="009479F5" w:rsidRPr="009479F5" w:rsidRDefault="009479F5" w:rsidP="009479F5">
      <w:pPr>
        <w:numPr>
          <w:ilvl w:val="0"/>
          <w:numId w:val="3"/>
        </w:numPr>
        <w:spacing w:after="0" w:line="276" w:lineRule="auto"/>
        <w:ind w:left="284" w:hanging="284"/>
        <w:jc w:val="left"/>
        <w:rPr>
          <w:rFonts w:asciiTheme="majorHAnsi" w:hAnsiTheme="majorHAnsi" w:cstheme="majorHAnsi"/>
          <w:szCs w:val="20"/>
        </w:rPr>
      </w:pPr>
      <w:r w:rsidRPr="009479F5">
        <w:rPr>
          <w:rFonts w:asciiTheme="majorHAnsi" w:hAnsiTheme="majorHAnsi" w:cstheme="majorHAnsi"/>
          <w:szCs w:val="20"/>
        </w:rPr>
        <w:t>της «</w:t>
      </w:r>
      <w:r w:rsidRPr="009479F5">
        <w:rPr>
          <w:rFonts w:asciiTheme="majorHAnsi" w:hAnsiTheme="majorHAnsi" w:cstheme="majorHAnsi"/>
        </w:rPr>
        <w:t>ALPHA Τράπεζα Α.Ε.»:</w:t>
      </w:r>
      <w:r w:rsidRPr="009479F5">
        <w:rPr>
          <w:rFonts w:asciiTheme="majorHAnsi" w:hAnsiTheme="majorHAnsi" w:cstheme="majorHAnsi"/>
          <w:szCs w:val="20"/>
        </w:rPr>
        <w:t xml:space="preserve"> </w:t>
      </w:r>
      <w:hyperlink r:id="rId18" w:history="1">
        <w:r w:rsidRPr="009479F5">
          <w:rPr>
            <w:rStyle w:val="Hyperlink"/>
            <w:rFonts w:asciiTheme="majorHAnsi" w:hAnsiTheme="majorHAnsi" w:cstheme="majorHAnsi"/>
            <w:color w:val="auto"/>
            <w:szCs w:val="20"/>
            <w:lang w:val="en-US"/>
          </w:rPr>
          <w:t>https</w:t>
        </w:r>
        <w:r w:rsidRPr="009479F5">
          <w:rPr>
            <w:rStyle w:val="Hyperlink"/>
            <w:rFonts w:asciiTheme="majorHAnsi" w:hAnsiTheme="majorHAnsi" w:cstheme="majorHAnsi"/>
            <w:color w:val="auto"/>
            <w:szCs w:val="20"/>
          </w:rPr>
          <w:t>://</w:t>
        </w:r>
        <w:r w:rsidRPr="009479F5">
          <w:rPr>
            <w:rStyle w:val="Hyperlink"/>
            <w:rFonts w:asciiTheme="majorHAnsi" w:hAnsiTheme="majorHAnsi" w:cstheme="majorHAnsi"/>
            <w:color w:val="auto"/>
            <w:szCs w:val="20"/>
            <w:lang w:val="en-US"/>
          </w:rPr>
          <w:t>www</w:t>
        </w:r>
        <w:r w:rsidRPr="009479F5">
          <w:rPr>
            <w:rStyle w:val="Hyperlink"/>
            <w:rFonts w:asciiTheme="majorHAnsi" w:hAnsiTheme="majorHAnsi" w:cstheme="majorHAnsi"/>
            <w:color w:val="auto"/>
            <w:szCs w:val="20"/>
          </w:rPr>
          <w:t>.</w:t>
        </w:r>
        <w:r w:rsidRPr="009479F5">
          <w:rPr>
            <w:rStyle w:val="Hyperlink"/>
            <w:rFonts w:asciiTheme="majorHAnsi" w:hAnsiTheme="majorHAnsi" w:cstheme="majorHAnsi"/>
            <w:color w:val="auto"/>
            <w:szCs w:val="20"/>
            <w:lang w:val="en-US"/>
          </w:rPr>
          <w:t>alpha</w:t>
        </w:r>
        <w:r w:rsidRPr="009479F5">
          <w:rPr>
            <w:rStyle w:val="Hyperlink"/>
            <w:rFonts w:asciiTheme="majorHAnsi" w:hAnsiTheme="majorHAnsi" w:cstheme="majorHAnsi"/>
            <w:color w:val="auto"/>
            <w:szCs w:val="20"/>
          </w:rPr>
          <w:t>.</w:t>
        </w:r>
        <w:r w:rsidRPr="009479F5">
          <w:rPr>
            <w:rStyle w:val="Hyperlink"/>
            <w:rFonts w:asciiTheme="majorHAnsi" w:hAnsiTheme="majorHAnsi" w:cstheme="majorHAnsi"/>
            <w:color w:val="auto"/>
            <w:szCs w:val="20"/>
            <w:lang w:val="en-US"/>
          </w:rPr>
          <w:t>gr</w:t>
        </w:r>
        <w:r w:rsidRPr="009479F5">
          <w:rPr>
            <w:rStyle w:val="Hyperlink"/>
            <w:rFonts w:asciiTheme="majorHAnsi" w:hAnsiTheme="majorHAnsi" w:cstheme="majorHAnsi"/>
            <w:color w:val="auto"/>
            <w:szCs w:val="20"/>
          </w:rPr>
          <w:t>/</w:t>
        </w:r>
        <w:r w:rsidRPr="009479F5">
          <w:rPr>
            <w:rStyle w:val="Hyperlink"/>
            <w:rFonts w:asciiTheme="majorHAnsi" w:hAnsiTheme="majorHAnsi" w:cstheme="majorHAnsi"/>
            <w:color w:val="auto"/>
            <w:szCs w:val="20"/>
            <w:lang w:val="en-US"/>
          </w:rPr>
          <w:t>el</w:t>
        </w:r>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idiotes</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ependuseis</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xrimatistiriakes</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upiresies</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enimerotika</w:t>
        </w:r>
        <w:proofErr w:type="spellEnd"/>
        <w:r w:rsidRPr="009479F5">
          <w:rPr>
            <w:rStyle w:val="Hyperlink"/>
            <w:rFonts w:asciiTheme="majorHAnsi" w:hAnsiTheme="majorHAnsi" w:cstheme="majorHAnsi"/>
            <w:color w:val="auto"/>
            <w:szCs w:val="20"/>
          </w:rPr>
          <w:t>-</w:t>
        </w:r>
        <w:proofErr w:type="spellStart"/>
        <w:r w:rsidRPr="009479F5">
          <w:rPr>
            <w:rStyle w:val="Hyperlink"/>
            <w:rFonts w:asciiTheme="majorHAnsi" w:hAnsiTheme="majorHAnsi" w:cstheme="majorHAnsi"/>
            <w:color w:val="auto"/>
            <w:szCs w:val="20"/>
            <w:lang w:val="en-US"/>
          </w:rPr>
          <w:t>deltia</w:t>
        </w:r>
        <w:proofErr w:type="spellEnd"/>
      </w:hyperlink>
    </w:p>
    <w:p w14:paraId="604C63F0" w14:textId="77777777" w:rsidR="009479F5" w:rsidRPr="009479F5" w:rsidRDefault="009479F5" w:rsidP="009479F5">
      <w:pPr>
        <w:numPr>
          <w:ilvl w:val="0"/>
          <w:numId w:val="3"/>
        </w:numPr>
        <w:spacing w:after="0" w:line="276" w:lineRule="auto"/>
        <w:ind w:left="284" w:hanging="284"/>
        <w:jc w:val="left"/>
        <w:rPr>
          <w:rStyle w:val="Hyperlink"/>
          <w:rFonts w:asciiTheme="majorHAnsi" w:hAnsiTheme="majorHAnsi" w:cstheme="majorHAnsi"/>
          <w:color w:val="auto"/>
        </w:rPr>
      </w:pPr>
      <w:r w:rsidRPr="009479F5">
        <w:rPr>
          <w:rFonts w:asciiTheme="majorHAnsi" w:hAnsiTheme="majorHAnsi" w:cstheme="majorHAnsi"/>
        </w:rPr>
        <w:t xml:space="preserve">της «ΕΘΝΙΚΗ ΤΡΑΠΕΖΑ ΤΗΣ ΕΛΛΑΔΟΣ Α.Ε.»: </w:t>
      </w:r>
      <w:hyperlink r:id="rId19" w:history="1">
        <w:r w:rsidRPr="009479F5">
          <w:rPr>
            <w:rStyle w:val="Hyperlink"/>
            <w:rFonts w:asciiTheme="majorHAnsi" w:hAnsiTheme="majorHAnsi" w:cstheme="majorHAnsi"/>
            <w:color w:val="auto"/>
            <w:lang w:val="en-US"/>
          </w:rPr>
          <w:t>https</w:t>
        </w:r>
        <w:r w:rsidRPr="009479F5">
          <w:rPr>
            <w:rStyle w:val="Hyperlink"/>
            <w:rFonts w:asciiTheme="majorHAnsi" w:hAnsiTheme="majorHAnsi" w:cstheme="majorHAnsi"/>
            <w:color w:val="auto"/>
          </w:rPr>
          <w:t>://</w:t>
        </w:r>
        <w:r w:rsidRPr="009479F5">
          <w:rPr>
            <w:rStyle w:val="Hyperlink"/>
            <w:rFonts w:asciiTheme="majorHAnsi" w:hAnsiTheme="majorHAnsi" w:cstheme="majorHAnsi"/>
            <w:color w:val="auto"/>
            <w:lang w:val="en-US"/>
          </w:rPr>
          <w:t>www</w:t>
        </w:r>
        <w:r w:rsidRPr="009479F5">
          <w:rPr>
            <w:rStyle w:val="Hyperlink"/>
            <w:rFonts w:asciiTheme="majorHAnsi" w:hAnsiTheme="majorHAnsi" w:cstheme="majorHAnsi"/>
            <w:color w:val="auto"/>
          </w:rPr>
          <w:t>.</w:t>
        </w:r>
        <w:proofErr w:type="spellStart"/>
        <w:r w:rsidRPr="009479F5">
          <w:rPr>
            <w:rStyle w:val="Hyperlink"/>
            <w:rFonts w:asciiTheme="majorHAnsi" w:hAnsiTheme="majorHAnsi" w:cstheme="majorHAnsi"/>
            <w:color w:val="auto"/>
            <w:lang w:val="en-US"/>
          </w:rPr>
          <w:t>nbg</w:t>
        </w:r>
        <w:proofErr w:type="spellEnd"/>
        <w:r w:rsidRPr="009479F5">
          <w:rPr>
            <w:rStyle w:val="Hyperlink"/>
            <w:rFonts w:asciiTheme="majorHAnsi" w:hAnsiTheme="majorHAnsi" w:cstheme="majorHAnsi"/>
            <w:color w:val="auto"/>
          </w:rPr>
          <w:t>.</w:t>
        </w:r>
        <w:r w:rsidRPr="009479F5">
          <w:rPr>
            <w:rStyle w:val="Hyperlink"/>
            <w:rFonts w:asciiTheme="majorHAnsi" w:hAnsiTheme="majorHAnsi" w:cstheme="majorHAnsi"/>
            <w:color w:val="auto"/>
            <w:lang w:val="en-US"/>
          </w:rPr>
          <w:t>gr</w:t>
        </w:r>
        <w:r w:rsidRPr="009479F5">
          <w:rPr>
            <w:rStyle w:val="Hyperlink"/>
            <w:rFonts w:asciiTheme="majorHAnsi" w:hAnsiTheme="majorHAnsi" w:cstheme="majorHAnsi"/>
            <w:color w:val="auto"/>
          </w:rPr>
          <w:t>/</w:t>
        </w:r>
        <w:r w:rsidRPr="009479F5">
          <w:rPr>
            <w:rStyle w:val="Hyperlink"/>
            <w:rFonts w:asciiTheme="majorHAnsi" w:hAnsiTheme="majorHAnsi" w:cstheme="majorHAnsi"/>
            <w:color w:val="auto"/>
            <w:lang w:val="en-US"/>
          </w:rPr>
          <w:t>el</w:t>
        </w:r>
        <w:r w:rsidRPr="009479F5">
          <w:rPr>
            <w:rStyle w:val="Hyperlink"/>
            <w:rFonts w:asciiTheme="majorHAnsi" w:hAnsiTheme="majorHAnsi" w:cstheme="majorHAnsi"/>
            <w:color w:val="auto"/>
          </w:rPr>
          <w:t>/</w:t>
        </w:r>
        <w:r w:rsidRPr="009479F5">
          <w:rPr>
            <w:rStyle w:val="Hyperlink"/>
            <w:rFonts w:asciiTheme="majorHAnsi" w:hAnsiTheme="majorHAnsi" w:cstheme="majorHAnsi"/>
            <w:color w:val="auto"/>
            <w:lang w:val="en-US"/>
          </w:rPr>
          <w:t>retail</w:t>
        </w:r>
        <w:r w:rsidRPr="009479F5">
          <w:rPr>
            <w:rStyle w:val="Hyperlink"/>
            <w:rFonts w:asciiTheme="majorHAnsi" w:hAnsiTheme="majorHAnsi" w:cstheme="majorHAnsi"/>
            <w:color w:val="auto"/>
          </w:rPr>
          <w:t>/</w:t>
        </w:r>
        <w:r w:rsidRPr="009479F5">
          <w:rPr>
            <w:rStyle w:val="Hyperlink"/>
            <w:rFonts w:asciiTheme="majorHAnsi" w:hAnsiTheme="majorHAnsi" w:cstheme="majorHAnsi"/>
            <w:color w:val="auto"/>
            <w:lang w:val="en-US"/>
          </w:rPr>
          <w:t>investment</w:t>
        </w:r>
        <w:r w:rsidRPr="009479F5">
          <w:rPr>
            <w:rStyle w:val="Hyperlink"/>
            <w:rFonts w:asciiTheme="majorHAnsi" w:hAnsiTheme="majorHAnsi" w:cstheme="majorHAnsi"/>
            <w:color w:val="auto"/>
          </w:rPr>
          <w:t>-</w:t>
        </w:r>
        <w:r w:rsidRPr="009479F5">
          <w:rPr>
            <w:rStyle w:val="Hyperlink"/>
            <w:rFonts w:asciiTheme="majorHAnsi" w:hAnsiTheme="majorHAnsi" w:cstheme="majorHAnsi"/>
            <w:color w:val="auto"/>
            <w:lang w:val="en-US"/>
          </w:rPr>
          <w:t>products</w:t>
        </w:r>
        <w:r w:rsidRPr="009479F5">
          <w:rPr>
            <w:rStyle w:val="Hyperlink"/>
            <w:rFonts w:asciiTheme="majorHAnsi" w:hAnsiTheme="majorHAnsi" w:cstheme="majorHAnsi"/>
            <w:color w:val="auto"/>
          </w:rPr>
          <w:t>/</w:t>
        </w:r>
        <w:proofErr w:type="spellStart"/>
        <w:r w:rsidRPr="009479F5">
          <w:rPr>
            <w:rStyle w:val="Hyperlink"/>
            <w:rFonts w:asciiTheme="majorHAnsi" w:hAnsiTheme="majorHAnsi" w:cstheme="majorHAnsi"/>
            <w:color w:val="auto"/>
            <w:lang w:val="en-US"/>
          </w:rPr>
          <w:t>enimerotika</w:t>
        </w:r>
        <w:proofErr w:type="spellEnd"/>
        <w:r w:rsidRPr="009479F5">
          <w:rPr>
            <w:rStyle w:val="Hyperlink"/>
            <w:rFonts w:asciiTheme="majorHAnsi" w:hAnsiTheme="majorHAnsi" w:cstheme="majorHAnsi"/>
            <w:color w:val="auto"/>
          </w:rPr>
          <w:t>-</w:t>
        </w:r>
        <w:proofErr w:type="spellStart"/>
        <w:r w:rsidRPr="009479F5">
          <w:rPr>
            <w:rStyle w:val="Hyperlink"/>
            <w:rFonts w:asciiTheme="majorHAnsi" w:hAnsiTheme="majorHAnsi" w:cstheme="majorHAnsi"/>
            <w:color w:val="auto"/>
            <w:lang w:val="en-US"/>
          </w:rPr>
          <w:t>deltia</w:t>
        </w:r>
        <w:proofErr w:type="spellEnd"/>
        <w:r w:rsidRPr="009479F5">
          <w:rPr>
            <w:rStyle w:val="Hyperlink"/>
            <w:rFonts w:asciiTheme="majorHAnsi" w:hAnsiTheme="majorHAnsi" w:cstheme="majorHAnsi"/>
            <w:color w:val="auto"/>
          </w:rPr>
          <w:t>/</w:t>
        </w:r>
        <w:proofErr w:type="spellStart"/>
        <w:r w:rsidRPr="009479F5">
          <w:rPr>
            <w:rStyle w:val="Hyperlink"/>
            <w:rFonts w:asciiTheme="majorHAnsi" w:hAnsiTheme="majorHAnsi" w:cstheme="majorHAnsi"/>
            <w:color w:val="auto"/>
            <w:lang w:val="en-US"/>
          </w:rPr>
          <w:t>deltia</w:t>
        </w:r>
        <w:proofErr w:type="spellEnd"/>
        <w:r w:rsidRPr="009479F5">
          <w:rPr>
            <w:rStyle w:val="Hyperlink"/>
            <w:rFonts w:asciiTheme="majorHAnsi" w:hAnsiTheme="majorHAnsi" w:cstheme="majorHAnsi"/>
            <w:color w:val="auto"/>
          </w:rPr>
          <w:t>-</w:t>
        </w:r>
        <w:proofErr w:type="spellStart"/>
        <w:r w:rsidRPr="009479F5">
          <w:rPr>
            <w:rStyle w:val="Hyperlink"/>
            <w:rFonts w:asciiTheme="majorHAnsi" w:hAnsiTheme="majorHAnsi" w:cstheme="majorHAnsi"/>
            <w:color w:val="auto"/>
            <w:lang w:val="en-US"/>
          </w:rPr>
          <w:t>epihirisewn</w:t>
        </w:r>
        <w:proofErr w:type="spellEnd"/>
      </w:hyperlink>
      <w:r w:rsidRPr="009479F5">
        <w:rPr>
          <w:rStyle w:val="Hyperlink"/>
          <w:rFonts w:asciiTheme="majorHAnsi" w:hAnsiTheme="majorHAnsi" w:cstheme="majorHAnsi"/>
          <w:color w:val="auto"/>
          <w:szCs w:val="20"/>
        </w:rPr>
        <w:t>,</w:t>
      </w:r>
    </w:p>
    <w:p w14:paraId="6DA2D104" w14:textId="77777777" w:rsidR="009479F5" w:rsidRPr="009479F5" w:rsidRDefault="009479F5" w:rsidP="009479F5">
      <w:pPr>
        <w:numPr>
          <w:ilvl w:val="0"/>
          <w:numId w:val="3"/>
        </w:numPr>
        <w:spacing w:after="0" w:line="276" w:lineRule="auto"/>
        <w:ind w:left="284" w:hanging="284"/>
        <w:jc w:val="left"/>
        <w:rPr>
          <w:rStyle w:val="Hyperlink"/>
          <w:rFonts w:asciiTheme="majorHAnsi" w:hAnsiTheme="majorHAnsi" w:cstheme="majorHAnsi"/>
          <w:color w:val="auto"/>
          <w:szCs w:val="20"/>
        </w:rPr>
      </w:pPr>
      <w:r w:rsidRPr="009479F5">
        <w:rPr>
          <w:rFonts w:asciiTheme="majorHAnsi" w:hAnsiTheme="majorHAnsi" w:cstheme="majorHAnsi"/>
        </w:rPr>
        <w:t>της «Τράπεζας Πειραιώς Α.Ε.»:</w:t>
      </w:r>
      <w:r w:rsidRPr="009479F5">
        <w:rPr>
          <w:rStyle w:val="Hyperlink"/>
          <w:rFonts w:asciiTheme="majorHAnsi" w:hAnsiTheme="majorHAnsi" w:cstheme="majorHAnsi"/>
          <w:color w:val="auto"/>
          <w:szCs w:val="20"/>
        </w:rPr>
        <w:t xml:space="preserve"> </w:t>
      </w:r>
      <w:hyperlink r:id="rId20" w:history="1">
        <w:r w:rsidRPr="009479F5">
          <w:rPr>
            <w:rStyle w:val="Hyperlink"/>
            <w:rFonts w:asciiTheme="majorHAnsi" w:hAnsiTheme="majorHAnsi" w:cstheme="majorHAnsi"/>
            <w:color w:val="auto"/>
            <w:szCs w:val="20"/>
          </w:rPr>
          <w:t>https://www.piraeusholdings.gr/elvalhalcor</w:t>
        </w:r>
      </w:hyperlink>
    </w:p>
    <w:p w14:paraId="1A3976B3" w14:textId="77777777" w:rsidR="009479F5" w:rsidRPr="009479F5" w:rsidRDefault="009479F5" w:rsidP="009479F5">
      <w:pPr>
        <w:pStyle w:val="ListParagraph"/>
        <w:numPr>
          <w:ilvl w:val="0"/>
          <w:numId w:val="3"/>
        </w:numPr>
        <w:spacing w:before="0" w:after="0"/>
        <w:ind w:left="284" w:hanging="284"/>
        <w:rPr>
          <w:rStyle w:val="Hyperlink"/>
          <w:rFonts w:asciiTheme="majorHAnsi" w:hAnsiTheme="majorHAnsi" w:cstheme="majorHAnsi"/>
          <w:color w:val="auto"/>
          <w:szCs w:val="22"/>
          <w:lang w:val="en-US" w:eastAsia="el-GR"/>
        </w:rPr>
      </w:pPr>
      <w:r w:rsidRPr="009479F5">
        <w:rPr>
          <w:rFonts w:asciiTheme="majorHAnsi" w:eastAsiaTheme="minorHAnsi" w:hAnsiTheme="majorHAnsi" w:cstheme="majorHAnsi"/>
          <w:szCs w:val="22"/>
        </w:rPr>
        <w:t>της «ΤΡΑΠΕΖΑ OPTIMA BANK Α.Ε.»</w:t>
      </w:r>
      <w:r w:rsidRPr="00EE2D05">
        <w:rPr>
          <w:rStyle w:val="Hyperlink"/>
          <w:rFonts w:asciiTheme="majorHAnsi" w:hAnsiTheme="majorHAnsi" w:cstheme="majorHAnsi"/>
          <w:color w:val="auto"/>
          <w:u w:val="none"/>
          <w:lang w:val="en-US"/>
        </w:rPr>
        <w:t xml:space="preserve">: </w:t>
      </w:r>
      <w:hyperlink r:id="rId21" w:history="1">
        <w:r w:rsidRPr="009479F5">
          <w:rPr>
            <w:rStyle w:val="Hyperlink"/>
            <w:rFonts w:asciiTheme="majorHAnsi" w:hAnsiTheme="majorHAnsi" w:cstheme="majorHAnsi"/>
            <w:color w:val="auto"/>
            <w:lang w:val="en-US"/>
          </w:rPr>
          <w:t>https://www.optimabank.gr/business/investment-banking/enimerotika-pliroforiaka-deltia</w:t>
        </w:r>
      </w:hyperlink>
      <w:r w:rsidRPr="009479F5">
        <w:rPr>
          <w:rFonts w:asciiTheme="majorHAnsi" w:hAnsiTheme="majorHAnsi" w:cstheme="majorHAnsi"/>
          <w:lang w:val="en-US" w:eastAsia="el-GR"/>
        </w:rPr>
        <w:t xml:space="preserve">, </w:t>
      </w:r>
    </w:p>
    <w:p w14:paraId="298B6867" w14:textId="77777777" w:rsidR="009479F5" w:rsidRPr="009479F5" w:rsidRDefault="009479F5" w:rsidP="009479F5">
      <w:pPr>
        <w:numPr>
          <w:ilvl w:val="0"/>
          <w:numId w:val="3"/>
        </w:numPr>
        <w:spacing w:after="0" w:line="276" w:lineRule="auto"/>
        <w:ind w:left="284" w:hanging="284"/>
        <w:jc w:val="left"/>
        <w:rPr>
          <w:rStyle w:val="Hyperlink"/>
          <w:rFonts w:asciiTheme="majorHAnsi" w:hAnsiTheme="majorHAnsi" w:cstheme="majorHAnsi"/>
          <w:color w:val="auto"/>
          <w:szCs w:val="20"/>
          <w:lang w:val="en-US"/>
        </w:rPr>
      </w:pPr>
      <w:r w:rsidRPr="009479F5">
        <w:rPr>
          <w:rFonts w:asciiTheme="majorHAnsi" w:hAnsiTheme="majorHAnsi" w:cstheme="majorHAnsi"/>
        </w:rPr>
        <w:t>της</w:t>
      </w:r>
      <w:r w:rsidRPr="009479F5">
        <w:rPr>
          <w:rFonts w:asciiTheme="majorHAnsi" w:hAnsiTheme="majorHAnsi" w:cstheme="majorHAnsi"/>
          <w:lang w:val="en-US"/>
        </w:rPr>
        <w:t xml:space="preserve"> «</w:t>
      </w:r>
      <w:r w:rsidRPr="009479F5">
        <w:rPr>
          <w:rFonts w:asciiTheme="majorHAnsi" w:hAnsiTheme="majorHAnsi" w:cstheme="majorHAnsi"/>
          <w:szCs w:val="20"/>
        </w:rPr>
        <w:t>ΑΧΙΑ</w:t>
      </w:r>
      <w:r w:rsidRPr="009479F5">
        <w:rPr>
          <w:rFonts w:asciiTheme="majorHAnsi" w:hAnsiTheme="majorHAnsi" w:cstheme="majorHAnsi"/>
          <w:szCs w:val="20"/>
          <w:lang w:val="en-US"/>
        </w:rPr>
        <w:t xml:space="preserve"> VENTURES GROUP Ltd»</w:t>
      </w:r>
      <w:r w:rsidRPr="009479F5">
        <w:rPr>
          <w:rFonts w:asciiTheme="majorHAnsi" w:hAnsiTheme="majorHAnsi" w:cstheme="majorHAnsi"/>
          <w:lang w:val="en-US"/>
        </w:rPr>
        <w:t>:</w:t>
      </w:r>
      <w:r w:rsidRPr="009479F5">
        <w:rPr>
          <w:rStyle w:val="Hyperlink"/>
          <w:rFonts w:asciiTheme="majorHAnsi" w:hAnsiTheme="majorHAnsi" w:cstheme="majorHAnsi"/>
          <w:color w:val="auto"/>
          <w:szCs w:val="20"/>
          <w:lang w:val="en-US"/>
        </w:rPr>
        <w:t xml:space="preserve"> https://www.axiavg.gr/prospectus/</w:t>
      </w:r>
    </w:p>
    <w:p w14:paraId="1F600B1E" w14:textId="1BD96CB0" w:rsidR="00484C35" w:rsidRPr="009479F5" w:rsidRDefault="009479F5" w:rsidP="007F14BC">
      <w:pPr>
        <w:pStyle w:val="ListParagraph"/>
        <w:numPr>
          <w:ilvl w:val="0"/>
          <w:numId w:val="3"/>
        </w:numPr>
        <w:ind w:left="284" w:hanging="284"/>
        <w:rPr>
          <w:rFonts w:asciiTheme="majorHAnsi" w:hAnsiTheme="majorHAnsi" w:cstheme="majorHAnsi"/>
        </w:rPr>
      </w:pPr>
      <w:r w:rsidRPr="009479F5">
        <w:rPr>
          <w:rFonts w:asciiTheme="majorHAnsi" w:hAnsiTheme="majorHAnsi" w:cstheme="majorHAnsi"/>
        </w:rPr>
        <w:t>της «</w:t>
      </w:r>
      <w:r w:rsidRPr="009479F5">
        <w:rPr>
          <w:rFonts w:asciiTheme="majorHAnsi" w:eastAsiaTheme="minorHAnsi" w:hAnsiTheme="majorHAnsi" w:cstheme="majorHAnsi"/>
          <w:szCs w:val="22"/>
        </w:rPr>
        <w:t>EUROXX Χρηματιστηριακή Α.Ε.Π.Ε.Υ.»:</w:t>
      </w:r>
      <w:r w:rsidRPr="009479F5">
        <w:rPr>
          <w:rStyle w:val="Hyperlink"/>
          <w:rFonts w:asciiTheme="majorHAnsi" w:hAnsiTheme="majorHAnsi" w:cstheme="majorHAnsi"/>
          <w:color w:val="auto"/>
        </w:rPr>
        <w:t xml:space="preserve"> </w:t>
      </w:r>
      <w:hyperlink r:id="rId22" w:history="1">
        <w:r w:rsidRPr="009479F5">
          <w:rPr>
            <w:rStyle w:val="Hyperlink"/>
            <w:rFonts w:asciiTheme="majorHAnsi" w:hAnsiTheme="majorHAnsi" w:cstheme="majorHAnsi"/>
            <w:color w:val="auto"/>
          </w:rPr>
          <w:t>https://www.euroxx.gr/gr/content/article/</w:t>
        </w:r>
        <w:r w:rsidRPr="009479F5">
          <w:rPr>
            <w:rStyle w:val="Hyperlink"/>
            <w:rFonts w:asciiTheme="majorHAnsi" w:hAnsiTheme="majorHAnsi" w:cstheme="majorHAnsi"/>
            <w:color w:val="auto"/>
            <w:lang w:val="en-US"/>
          </w:rPr>
          <w:t>ELHA</w:t>
        </w:r>
      </w:hyperlink>
    </w:p>
    <w:p w14:paraId="42974D2C" w14:textId="77777777" w:rsidR="00484C35" w:rsidRPr="0040661C" w:rsidRDefault="0040661C" w:rsidP="0040661C">
      <w:pPr>
        <w:spacing w:after="0"/>
        <w:rPr>
          <w:szCs w:val="20"/>
        </w:rPr>
      </w:pPr>
      <w:r w:rsidRPr="007B7BD1">
        <w:rPr>
          <w:szCs w:val="20"/>
        </w:rPr>
        <w:t xml:space="preserve">Επίσης, κατά τη διάρκεια της περιόδου της Δημόσιας Προσφοράς, το Ενημερωτικό Δελτίο θα είναι διαθέσιμο δωρεάν στο επενδυτικό κοινό και σε έντυπη μορφή, εφόσον ζητηθεί, στα γραφεία της Εταιρείας, στον Πύργο Αθηνών (Κτίριο Β), </w:t>
      </w:r>
      <w:r w:rsidRPr="007B7BD1">
        <w:rPr>
          <w:bCs/>
          <w:lang w:eastAsia="el-GR"/>
        </w:rPr>
        <w:t>Λ. Μεσογείων 2-4, 115 27 Αθήνα, Ελλάδα</w:t>
      </w:r>
      <w:r w:rsidRPr="007B7BD1">
        <w:rPr>
          <w:szCs w:val="20"/>
        </w:rPr>
        <w:t>, καθώς και στο δίκτυο καταστημάτων των Συντονιστών Κύριων Αναδόχων</w:t>
      </w:r>
      <w:r>
        <w:rPr>
          <w:szCs w:val="20"/>
        </w:rPr>
        <w:t xml:space="preserve"> «Τράπεζα </w:t>
      </w:r>
      <w:r>
        <w:rPr>
          <w:szCs w:val="20"/>
          <w:lang w:val="en-US"/>
        </w:rPr>
        <w:t>Eurobank</w:t>
      </w:r>
      <w:r w:rsidRPr="0073377C">
        <w:rPr>
          <w:szCs w:val="20"/>
        </w:rPr>
        <w:t xml:space="preserve"> </w:t>
      </w:r>
      <w:r>
        <w:rPr>
          <w:szCs w:val="20"/>
        </w:rPr>
        <w:t xml:space="preserve">Α.Ε.» </w:t>
      </w:r>
      <w:r>
        <w:t xml:space="preserve">(καταστατική έδρα - </w:t>
      </w:r>
      <w:r w:rsidRPr="00F228C2">
        <w:t xml:space="preserve">Όθωνος </w:t>
      </w:r>
      <w:proofErr w:type="spellStart"/>
      <w:r w:rsidRPr="00F228C2">
        <w:t>αρ</w:t>
      </w:r>
      <w:proofErr w:type="spellEnd"/>
      <w:r w:rsidRPr="00F228C2">
        <w:t>. 8, 105 57 Αθήνα</w:t>
      </w:r>
      <w:r>
        <w:t xml:space="preserve">, </w:t>
      </w:r>
      <w:proofErr w:type="spellStart"/>
      <w:r>
        <w:t>τηλ</w:t>
      </w:r>
      <w:proofErr w:type="spellEnd"/>
      <w:r>
        <w:t>. 210</w:t>
      </w:r>
      <w:r w:rsidRPr="00F228C2">
        <w:t xml:space="preserve"> 955</w:t>
      </w:r>
      <w:r>
        <w:t xml:space="preserve"> </w:t>
      </w:r>
      <w:r w:rsidRPr="00F228C2">
        <w:t>5000</w:t>
      </w:r>
      <w:r>
        <w:t>)</w:t>
      </w:r>
      <w:r>
        <w:rPr>
          <w:szCs w:val="20"/>
        </w:rPr>
        <w:t xml:space="preserve"> και «</w:t>
      </w:r>
      <w:r>
        <w:rPr>
          <w:szCs w:val="20"/>
          <w:lang w:val="en-US"/>
        </w:rPr>
        <w:t>ALPHA</w:t>
      </w:r>
      <w:r w:rsidRPr="00F228C2">
        <w:rPr>
          <w:szCs w:val="20"/>
        </w:rPr>
        <w:t xml:space="preserve"> </w:t>
      </w:r>
      <w:r>
        <w:rPr>
          <w:szCs w:val="20"/>
        </w:rPr>
        <w:t>Τράπεζα Α.Ε.»</w:t>
      </w:r>
      <w:r w:rsidRPr="007B7BD1">
        <w:rPr>
          <w:szCs w:val="20"/>
        </w:rPr>
        <w:t xml:space="preserve"> </w:t>
      </w:r>
      <w:r>
        <w:t xml:space="preserve">(καταστατική έδρα - </w:t>
      </w:r>
      <w:r w:rsidRPr="00F228C2">
        <w:t xml:space="preserve">Σταδίου 40, 102 52 Αθήνα, </w:t>
      </w:r>
      <w:proofErr w:type="spellStart"/>
      <w:r w:rsidRPr="00F228C2">
        <w:t>τηλ</w:t>
      </w:r>
      <w:proofErr w:type="spellEnd"/>
      <w:r w:rsidRPr="00F228C2">
        <w:t>.: 210 326 0000</w:t>
      </w:r>
      <w:r>
        <w:t>),</w:t>
      </w:r>
      <w:r w:rsidRPr="007B7BD1">
        <w:rPr>
          <w:szCs w:val="20"/>
        </w:rPr>
        <w:t xml:space="preserve"> των Κύριων Αναδόχων </w:t>
      </w:r>
      <w:r>
        <w:rPr>
          <w:szCs w:val="20"/>
        </w:rPr>
        <w:t xml:space="preserve">«ΕΘΝΙΚΗ ΤΡΑΠΕΖΑ ΤΗΣ ΕΛΛΑΔΟΣ Α.Ε.» (καταστατική έδρα - </w:t>
      </w:r>
      <w:r w:rsidRPr="009C17E3">
        <w:rPr>
          <w:szCs w:val="20"/>
        </w:rPr>
        <w:t>Αιόλου 86, 102 32 Αθήνα</w:t>
      </w:r>
      <w:r>
        <w:rPr>
          <w:szCs w:val="20"/>
        </w:rPr>
        <w:t xml:space="preserve">, </w:t>
      </w:r>
      <w:proofErr w:type="spellStart"/>
      <w:r>
        <w:rPr>
          <w:szCs w:val="20"/>
        </w:rPr>
        <w:t>τηλ</w:t>
      </w:r>
      <w:proofErr w:type="spellEnd"/>
      <w:r>
        <w:rPr>
          <w:szCs w:val="20"/>
        </w:rPr>
        <w:t xml:space="preserve">. </w:t>
      </w:r>
      <w:r w:rsidRPr="009C17E3">
        <w:rPr>
          <w:szCs w:val="20"/>
        </w:rPr>
        <w:t xml:space="preserve">210 33 37000 </w:t>
      </w:r>
      <w:r>
        <w:rPr>
          <w:szCs w:val="20"/>
        </w:rPr>
        <w:t>),</w:t>
      </w:r>
      <w:r>
        <w:t xml:space="preserve">«ΤΡΑΠΕΖΑ ΠΕΙΡΑΙΩΣ» (καταστατική έδρα - Αμερικής 4, Τ.Κ. 10564, </w:t>
      </w:r>
      <w:proofErr w:type="spellStart"/>
      <w:r>
        <w:t>τηλ</w:t>
      </w:r>
      <w:proofErr w:type="spellEnd"/>
      <w:r>
        <w:t xml:space="preserve">. 2103288000) και «ΤΡΑΠΕΖΑ OPTIMA BANK Α.Ε.» (καταστατική έδρα Αιγιαλείας 32, Μαρούσι, Τ.Κ. 151 25, </w:t>
      </w:r>
      <w:proofErr w:type="spellStart"/>
      <w:r>
        <w:t>τηλ</w:t>
      </w:r>
      <w:proofErr w:type="spellEnd"/>
      <w:r>
        <w:t xml:space="preserve">. 210 8173000) </w:t>
      </w:r>
      <w:r w:rsidRPr="007B7BD1">
        <w:rPr>
          <w:szCs w:val="20"/>
        </w:rPr>
        <w:t>και των Αναδόχων</w:t>
      </w:r>
      <w:r>
        <w:rPr>
          <w:szCs w:val="20"/>
        </w:rPr>
        <w:t xml:space="preserve"> «</w:t>
      </w:r>
      <w:r w:rsidRPr="009C17E3">
        <w:rPr>
          <w:szCs w:val="20"/>
        </w:rPr>
        <w:t xml:space="preserve">ΑΧΙΑ </w:t>
      </w:r>
      <w:r>
        <w:rPr>
          <w:szCs w:val="20"/>
          <w:lang w:val="en-US"/>
        </w:rPr>
        <w:t>VENTURES</w:t>
      </w:r>
      <w:r w:rsidRPr="009C17E3">
        <w:rPr>
          <w:szCs w:val="20"/>
        </w:rPr>
        <w:t xml:space="preserve"> </w:t>
      </w:r>
      <w:r>
        <w:rPr>
          <w:szCs w:val="20"/>
          <w:lang w:val="en-US"/>
        </w:rPr>
        <w:t>GROUP</w:t>
      </w:r>
      <w:r w:rsidRPr="009C17E3">
        <w:rPr>
          <w:szCs w:val="20"/>
        </w:rPr>
        <w:t xml:space="preserve"> </w:t>
      </w:r>
      <w:r>
        <w:rPr>
          <w:szCs w:val="20"/>
          <w:lang w:val="en-US"/>
        </w:rPr>
        <w:t>Ltd</w:t>
      </w:r>
      <w:r>
        <w:rPr>
          <w:szCs w:val="20"/>
        </w:rPr>
        <w:t>»</w:t>
      </w:r>
      <w:r w:rsidRPr="009C17E3">
        <w:rPr>
          <w:szCs w:val="20"/>
        </w:rPr>
        <w:t xml:space="preserve"> (</w:t>
      </w:r>
      <w:r>
        <w:rPr>
          <w:szCs w:val="20"/>
        </w:rPr>
        <w:t xml:space="preserve">καταστατική έδρα - </w:t>
      </w:r>
      <w:r w:rsidRPr="001B0719">
        <w:rPr>
          <w:szCs w:val="20"/>
        </w:rPr>
        <w:t>Γιάννου Κρανιδιώτη 10, 1065 Λευκωσία, Κύπρος</w:t>
      </w:r>
      <w:r>
        <w:rPr>
          <w:szCs w:val="20"/>
        </w:rPr>
        <w:t xml:space="preserve">, </w:t>
      </w:r>
      <w:proofErr w:type="spellStart"/>
      <w:r>
        <w:rPr>
          <w:szCs w:val="20"/>
        </w:rPr>
        <w:t>τηλ</w:t>
      </w:r>
      <w:proofErr w:type="spellEnd"/>
      <w:r>
        <w:rPr>
          <w:szCs w:val="20"/>
        </w:rPr>
        <w:t xml:space="preserve">. </w:t>
      </w:r>
      <w:r w:rsidRPr="001B0719">
        <w:rPr>
          <w:szCs w:val="20"/>
        </w:rPr>
        <w:t>210 7414400</w:t>
      </w:r>
      <w:r>
        <w:rPr>
          <w:szCs w:val="20"/>
        </w:rPr>
        <w:t xml:space="preserve">) και </w:t>
      </w:r>
      <w:r>
        <w:t xml:space="preserve">«EUROXX Χρηματιστηριακή Α.Ε.Π.Ε.Υ.» (καταστατική έδρα - Παλαιολόγου 7, Χαλάνδρι, Τ.Κ. 15232, </w:t>
      </w:r>
      <w:proofErr w:type="spellStart"/>
      <w:r>
        <w:t>τηλ</w:t>
      </w:r>
      <w:proofErr w:type="spellEnd"/>
      <w:r>
        <w:t>. 210 6879400)</w:t>
      </w:r>
      <w:r w:rsidRPr="007B7BD1">
        <w:rPr>
          <w:szCs w:val="20"/>
        </w:rPr>
        <w:t xml:space="preserve">. </w:t>
      </w:r>
    </w:p>
    <w:p w14:paraId="41787191" w14:textId="77777777" w:rsidR="0040661C" w:rsidRPr="0040661C" w:rsidRDefault="0040661C" w:rsidP="0040661C">
      <w:pPr>
        <w:tabs>
          <w:tab w:val="left" w:pos="241"/>
          <w:tab w:val="left" w:pos="20799"/>
          <w:tab w:val="left" w:pos="21117"/>
          <w:tab w:val="left" w:pos="23638"/>
          <w:tab w:val="left" w:pos="23956"/>
          <w:tab w:val="left" w:pos="26478"/>
        </w:tabs>
        <w:spacing w:before="120" w:after="0"/>
        <w:rPr>
          <w:szCs w:val="20"/>
        </w:rPr>
      </w:pPr>
      <w:r w:rsidRPr="0040661C">
        <w:rPr>
          <w:szCs w:val="20"/>
        </w:rPr>
        <w:t xml:space="preserve">Για περισσότερες πληροφορίες και διευκρινίσεις οι κ.κ. επενδυτές μπορούν να απευθύνονται τις εργάσιμες ημέρες και ώρες στα γραφεία της Εταιρείας, </w:t>
      </w:r>
      <w:r w:rsidRPr="007B7BD1">
        <w:rPr>
          <w:szCs w:val="20"/>
        </w:rPr>
        <w:t xml:space="preserve">Πύργος Αθηνών (κτίριο Β’), </w:t>
      </w:r>
      <w:r w:rsidRPr="0040661C">
        <w:rPr>
          <w:szCs w:val="20"/>
        </w:rPr>
        <w:t>Λ. Μεσογείων 2-4, 115 27 Αθήνα, Ελλάδα, ηλεκτρονική διεύθυνση: info@elvalhalcor.com (αρμόδιος κ. Αλέξανδρος Κομπότης, Υπεύθυνος Εξυπηρέτησης Μετόχων, τηλέφωνο: 22620 48640).</w:t>
      </w:r>
    </w:p>
    <w:p w14:paraId="44A9A6AF" w14:textId="77777777" w:rsidR="0040661C" w:rsidRDefault="0040661C" w:rsidP="0040661C"/>
    <w:p w14:paraId="3B6C6DB4" w14:textId="77777777" w:rsidR="0040661C" w:rsidRDefault="0040661C" w:rsidP="0040661C">
      <w:pPr>
        <w:jc w:val="center"/>
      </w:pPr>
      <w:r>
        <w:lastRenderedPageBreak/>
        <w:t>Αθήνα, 8 Νοεμβρίου 2021</w:t>
      </w:r>
    </w:p>
    <w:p w14:paraId="49B95BF8" w14:textId="77777777" w:rsidR="0040661C" w:rsidRDefault="0040661C" w:rsidP="0040661C">
      <w:pPr>
        <w:jc w:val="center"/>
      </w:pPr>
      <w:r w:rsidRPr="001B0719">
        <w:t>«ΕΛΒΑΛΧΑΛΚΟΡ ΕΛΛΗΝΙΚΗ ΒΙΟΜΗΧΑΝΙΑ ΧΑΛΚΟΥ ΚΑΙ ΑΛΟΥΜΙΝΙΟΥ ΑΝΩΝΥΜΟΣ ΕΤΑΙΡΕΙΑ»</w:t>
      </w:r>
    </w:p>
    <w:p w14:paraId="670A212B" w14:textId="77777777" w:rsidR="0040661C" w:rsidRPr="00B369E5" w:rsidRDefault="0040661C" w:rsidP="007F14BC"/>
    <w:sectPr w:rsidR="0040661C" w:rsidRPr="00B369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02E"/>
    <w:multiLevelType w:val="hybridMultilevel"/>
    <w:tmpl w:val="8A08FB70"/>
    <w:styleLink w:val="ShortOutlineList31"/>
    <w:lvl w:ilvl="0" w:tplc="04090001">
      <w:start w:val="1"/>
      <w:numFmt w:val="bullet"/>
      <w:lvlText w:val=""/>
      <w:lvlJc w:val="left"/>
      <w:pPr>
        <w:ind w:left="720" w:hanging="360"/>
      </w:pPr>
      <w:rPr>
        <w:rFonts w:ascii="Symbol" w:hAnsi="Symbol" w:hint="default"/>
      </w:rPr>
    </w:lvl>
    <w:lvl w:ilvl="1" w:tplc="A1968022">
      <w:numFmt w:val="bullet"/>
      <w:pStyle w:val="ListParagraph"/>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93028"/>
    <w:multiLevelType w:val="hybridMultilevel"/>
    <w:tmpl w:val="3698E1F6"/>
    <w:lvl w:ilvl="0" w:tplc="3AB6E64C">
      <w:start w:val="1"/>
      <w:numFmt w:val="bullet"/>
      <w:lvlText w:val="•"/>
      <w:lvlJc w:val="left"/>
      <w:pPr>
        <w:ind w:left="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14DE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D88A5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72D0E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2233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EE520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5C1F1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3800F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B6740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E5"/>
    <w:rsid w:val="001A5FB9"/>
    <w:rsid w:val="001D5436"/>
    <w:rsid w:val="002B6307"/>
    <w:rsid w:val="003401EE"/>
    <w:rsid w:val="00395BF3"/>
    <w:rsid w:val="003C452B"/>
    <w:rsid w:val="003C5D56"/>
    <w:rsid w:val="00405334"/>
    <w:rsid w:val="0040661C"/>
    <w:rsid w:val="004717AF"/>
    <w:rsid w:val="00484C35"/>
    <w:rsid w:val="0068340C"/>
    <w:rsid w:val="007F14BC"/>
    <w:rsid w:val="00881C47"/>
    <w:rsid w:val="0091000F"/>
    <w:rsid w:val="009479F5"/>
    <w:rsid w:val="009524BA"/>
    <w:rsid w:val="009C7A7C"/>
    <w:rsid w:val="00B369E5"/>
    <w:rsid w:val="00B7532F"/>
    <w:rsid w:val="00C735AF"/>
    <w:rsid w:val="00D01138"/>
    <w:rsid w:val="00D83CCC"/>
    <w:rsid w:val="00E35C10"/>
    <w:rsid w:val="00E41FC7"/>
    <w:rsid w:val="00E44F97"/>
    <w:rsid w:val="00E811ED"/>
    <w:rsid w:val="00E87A89"/>
    <w:rsid w:val="00EE2D05"/>
    <w:rsid w:val="00F2172A"/>
    <w:rsid w:val="00FB45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2458"/>
  <w15:chartTrackingRefBased/>
  <w15:docId w15:val="{3030A752-18F4-4EF2-BF0B-7405B691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9E5"/>
    <w:pPr>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Δεσμός"/>
    <w:uiPriority w:val="99"/>
    <w:rsid w:val="00484C35"/>
    <w:rPr>
      <w:color w:val="0000FF"/>
      <w:u w:val="single"/>
    </w:rPr>
  </w:style>
  <w:style w:type="paragraph" w:styleId="ListParagraph">
    <w:name w:val="List Paragraph"/>
    <w:basedOn w:val="Normal"/>
    <w:link w:val="ListParagraphChar"/>
    <w:uiPriority w:val="1"/>
    <w:qFormat/>
    <w:rsid w:val="00484C35"/>
    <w:pPr>
      <w:numPr>
        <w:ilvl w:val="1"/>
        <w:numId w:val="2"/>
      </w:numPr>
      <w:spacing w:before="60" w:after="60" w:line="264" w:lineRule="auto"/>
    </w:pPr>
    <w:rPr>
      <w:rFonts w:ascii="Calibri" w:eastAsia="Calibri" w:hAnsi="Calibri" w:cs="Tahoma"/>
      <w:szCs w:val="20"/>
    </w:rPr>
  </w:style>
  <w:style w:type="character" w:customStyle="1" w:styleId="ListParagraphChar">
    <w:name w:val="List Paragraph Char"/>
    <w:link w:val="ListParagraph"/>
    <w:uiPriority w:val="1"/>
    <w:locked/>
    <w:rsid w:val="00484C35"/>
    <w:rPr>
      <w:rFonts w:ascii="Calibri" w:eastAsia="Calibri" w:hAnsi="Calibri" w:cs="Tahoma"/>
      <w:sz w:val="20"/>
      <w:szCs w:val="20"/>
    </w:rPr>
  </w:style>
  <w:style w:type="numbering" w:customStyle="1" w:styleId="ShortOutlineList31">
    <w:name w:val="ShortOutlineList31"/>
    <w:rsid w:val="00484C35"/>
    <w:pPr>
      <w:numPr>
        <w:numId w:val="2"/>
      </w:numPr>
    </w:pPr>
  </w:style>
  <w:style w:type="paragraph" w:styleId="Revision">
    <w:name w:val="Revision"/>
    <w:hidden/>
    <w:uiPriority w:val="99"/>
    <w:semiHidden/>
    <w:rsid w:val="004717AF"/>
    <w:pPr>
      <w:spacing w:after="0" w:line="240" w:lineRule="auto"/>
    </w:pPr>
    <w:rPr>
      <w:sz w:val="20"/>
    </w:rPr>
  </w:style>
  <w:style w:type="paragraph" w:styleId="BalloonText">
    <w:name w:val="Balloon Text"/>
    <w:basedOn w:val="Normal"/>
    <w:link w:val="BalloonTextChar"/>
    <w:uiPriority w:val="99"/>
    <w:semiHidden/>
    <w:unhideWhenUsed/>
    <w:rsid w:val="00405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alpha.gr/el/idiotes/ependuseis/xrimatistiriakes-upiresies/enimerotika-deltia" TargetMode="External"/><Relationship Id="rId3" Type="http://schemas.openxmlformats.org/officeDocument/2006/relationships/settings" Target="settings.xml"/><Relationship Id="rId21" Type="http://schemas.openxmlformats.org/officeDocument/2006/relationships/hyperlink" Target="https://www.optimabank.gr/business/investment-banking/enimerotika-pliroforiaka-deltia"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eurobank.gr/el/omilos/enimerosi-ependuton/enimerotika-deltia/enimerotika-deltia-sumboulos-anadoxos-trapeza-eurobank-ergasias-ae" TargetMode="External"/><Relationship Id="rId2" Type="http://schemas.openxmlformats.org/officeDocument/2006/relationships/styles" Target="styles.xml"/><Relationship Id="rId16" Type="http://schemas.openxmlformats.org/officeDocument/2006/relationships/hyperlink" Target="https://www.elvalhalcor.com/el/investor-relations/shareholder-information/press-release-and-other-announcements/" TargetMode="External"/><Relationship Id="rId20" Type="http://schemas.openxmlformats.org/officeDocument/2006/relationships/hyperlink" Target="https://www.piraeusholdings.gr/elvalhalco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hcmc.gr/el_GR/web/portal/elib/deltia"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www.nbg.gr/el/retail/investment-products/enimerotika-deltia/deltia-epihirisewn"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athexgroup.gr/el/web/guest/companies-new-listings" TargetMode="External"/><Relationship Id="rId22" Type="http://schemas.openxmlformats.org/officeDocument/2006/relationships/hyperlink" Target="https://www.euroxx.gr/gr/content/article/EL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2699</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IB</dc:creator>
  <cp:keywords/>
  <dc:description/>
  <cp:lastModifiedBy>ERB IB</cp:lastModifiedBy>
  <cp:revision>5</cp:revision>
  <dcterms:created xsi:type="dcterms:W3CDTF">2021-11-05T12:52:00Z</dcterms:created>
  <dcterms:modified xsi:type="dcterms:W3CDTF">2021-11-08T12:46:00Z</dcterms:modified>
</cp:coreProperties>
</file>