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B96FED" w14:paraId="50E55D68" w14:textId="77777777" w:rsidTr="00F26854">
        <w:trPr>
          <w:trHeight w:val="1757"/>
        </w:trPr>
        <w:tc>
          <w:tcPr>
            <w:tcW w:w="3369" w:type="dxa"/>
            <w:tcBorders>
              <w:left w:val="single" w:sz="48" w:space="0" w:color="BC9E6E"/>
            </w:tcBorders>
            <w:shd w:val="clear" w:color="auto" w:fill="auto"/>
            <w:vAlign w:val="center"/>
          </w:tcPr>
          <w:p w14:paraId="50445461" w14:textId="77777777"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5C7F8917" wp14:editId="23BB182A">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14:paraId="6865F250" w14:textId="77777777" w:rsidR="00375D2B" w:rsidRDefault="00375D2B" w:rsidP="00375D2B">
            <w:pPr>
              <w:pStyle w:val="Heading1"/>
              <w:jc w:val="right"/>
              <w:rPr>
                <w:b/>
                <w:i w:val="0"/>
                <w:noProof/>
                <w:sz w:val="32"/>
                <w:szCs w:val="22"/>
                <w:u w:val="none"/>
                <w:lang w:eastAsia="en-GB"/>
              </w:rPr>
            </w:pPr>
          </w:p>
          <w:p w14:paraId="2A0DE88A" w14:textId="77777777" w:rsidR="00375D2B" w:rsidRPr="006932B9" w:rsidRDefault="00B96FED"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729ECB2C" w14:textId="53C9FF7E" w:rsidR="00C711D6" w:rsidRPr="00DA2D5C" w:rsidRDefault="009A5183" w:rsidP="009A5183">
            <w:pPr>
              <w:pStyle w:val="Heading1"/>
              <w:ind w:firstLine="0"/>
              <w:jc w:val="right"/>
              <w:rPr>
                <w:i w:val="0"/>
                <w:noProof/>
                <w:szCs w:val="22"/>
                <w:u w:val="none"/>
                <w:lang w:eastAsia="en-GB"/>
              </w:rPr>
            </w:pPr>
            <w:r>
              <w:rPr>
                <w:i w:val="0"/>
                <w:noProof/>
                <w:color w:val="00205B"/>
                <w:szCs w:val="22"/>
                <w:u w:val="none"/>
                <w:lang w:eastAsia="en-GB"/>
              </w:rPr>
              <w:t>Λίβερπουλ</w:t>
            </w:r>
            <w:r w:rsidR="00375D2B" w:rsidRPr="006932B9">
              <w:rPr>
                <w:i w:val="0"/>
                <w:noProof/>
                <w:color w:val="00205B"/>
                <w:szCs w:val="22"/>
                <w:u w:val="none"/>
                <w:lang w:eastAsia="en-GB"/>
              </w:rPr>
              <w:t xml:space="preserve">, </w:t>
            </w:r>
            <w:r>
              <w:rPr>
                <w:i w:val="0"/>
                <w:noProof/>
                <w:color w:val="00205B"/>
                <w:szCs w:val="22"/>
                <w:u w:val="none"/>
                <w:lang w:eastAsia="en-GB"/>
              </w:rPr>
              <w:t>26</w:t>
            </w:r>
            <w:r w:rsidR="00B96FED" w:rsidRPr="00B96FED">
              <w:rPr>
                <w:i w:val="0"/>
                <w:noProof/>
                <w:color w:val="00205B"/>
                <w:szCs w:val="22"/>
                <w:u w:val="none"/>
                <w:lang w:val="en-US" w:eastAsia="en-GB"/>
              </w:rPr>
              <w:t xml:space="preserve"> </w:t>
            </w:r>
            <w:r>
              <w:rPr>
                <w:i w:val="0"/>
                <w:noProof/>
                <w:color w:val="00205B"/>
                <w:szCs w:val="22"/>
                <w:u w:val="none"/>
                <w:lang w:eastAsia="en-GB"/>
              </w:rPr>
              <w:t>Φεβρουαρίου</w:t>
            </w:r>
            <w:r w:rsidR="009C06EC">
              <w:rPr>
                <w:i w:val="0"/>
                <w:noProof/>
                <w:color w:val="00205B"/>
                <w:szCs w:val="22"/>
                <w:u w:val="none"/>
                <w:lang w:val="en-US" w:eastAsia="en-GB"/>
              </w:rPr>
              <w:t xml:space="preserve"> 202</w:t>
            </w:r>
            <w:r w:rsidR="00E14963">
              <w:rPr>
                <w:i w:val="0"/>
                <w:noProof/>
                <w:color w:val="00205B"/>
                <w:szCs w:val="22"/>
                <w:u w:val="none"/>
                <w:lang w:val="en-US" w:eastAsia="en-GB"/>
              </w:rPr>
              <w:t>4</w:t>
            </w:r>
          </w:p>
        </w:tc>
      </w:tr>
    </w:tbl>
    <w:p w14:paraId="0A3D3387" w14:textId="77777777" w:rsidR="00C711D6" w:rsidRPr="0068536A" w:rsidRDefault="00C711D6" w:rsidP="00C711D6">
      <w:pPr>
        <w:pStyle w:val="Heading1"/>
        <w:ind w:firstLine="0"/>
        <w:jc w:val="center"/>
        <w:rPr>
          <w:i w:val="0"/>
          <w:noProof/>
          <w:szCs w:val="22"/>
          <w:u w:val="none"/>
          <w:lang w:eastAsia="en-GB"/>
        </w:rPr>
      </w:pPr>
    </w:p>
    <w:p w14:paraId="68EE863A" w14:textId="77777777" w:rsidR="00FF5D14" w:rsidRPr="0068536A" w:rsidRDefault="00FF5D14" w:rsidP="00FF5D14">
      <w:pPr>
        <w:rPr>
          <w:lang w:val="el-GR" w:eastAsia="en-GB"/>
        </w:rPr>
      </w:pPr>
    </w:p>
    <w:p w14:paraId="4E443E65" w14:textId="246B206E" w:rsidR="00840889" w:rsidRDefault="00295959" w:rsidP="003A6B99">
      <w:pPr>
        <w:jc w:val="both"/>
        <w:rPr>
          <w:b/>
          <w:color w:val="00205B"/>
          <w:sz w:val="32"/>
          <w:szCs w:val="32"/>
          <w:lang w:val="el-GR"/>
        </w:rPr>
      </w:pPr>
      <w:r w:rsidRPr="00295959">
        <w:rPr>
          <w:b/>
          <w:color w:val="00205B"/>
          <w:sz w:val="32"/>
          <w:szCs w:val="32"/>
          <w:lang w:val="el-GR"/>
        </w:rPr>
        <w:t xml:space="preserve">Ομιλία του Διοικητή της Τράπεζας της Ελλάδος Γιάννη Στουρνάρα </w:t>
      </w:r>
      <w:r w:rsidR="00840889">
        <w:rPr>
          <w:b/>
          <w:color w:val="00205B"/>
          <w:sz w:val="32"/>
          <w:szCs w:val="32"/>
          <w:lang w:val="el-GR"/>
        </w:rPr>
        <w:t xml:space="preserve">στο Πανεπιστήμιο του </w:t>
      </w:r>
      <w:r w:rsidR="00840889" w:rsidRPr="00840889">
        <w:rPr>
          <w:b/>
          <w:color w:val="00205B"/>
          <w:sz w:val="32"/>
          <w:szCs w:val="32"/>
          <w:lang w:val="el-GR"/>
        </w:rPr>
        <w:t>Λίβερπουλ</w:t>
      </w:r>
    </w:p>
    <w:p w14:paraId="22CE8167" w14:textId="33F80E2A" w:rsidR="00295959" w:rsidRPr="00840889" w:rsidRDefault="00840889" w:rsidP="003A6B99">
      <w:pPr>
        <w:jc w:val="both"/>
        <w:rPr>
          <w:b/>
          <w:color w:val="00205B"/>
          <w:sz w:val="28"/>
          <w:szCs w:val="28"/>
          <w:lang w:val="el-GR"/>
        </w:rPr>
      </w:pPr>
      <w:r w:rsidRPr="00840889">
        <w:rPr>
          <w:b/>
          <w:color w:val="00205B"/>
          <w:sz w:val="28"/>
          <w:szCs w:val="28"/>
          <w:lang w:val="el-GR"/>
        </w:rPr>
        <w:t>Διδάγματα από την εμπειρία της παρατεταμένης περιόδου μηδενικών επιτοκίων και των μη συμβατικών μέτρων νομισματικής πολιτικής</w:t>
      </w:r>
    </w:p>
    <w:p w14:paraId="4B4A9278" w14:textId="77298C99" w:rsidR="003A6B99" w:rsidRDefault="003A6B99" w:rsidP="00295959">
      <w:pPr>
        <w:jc w:val="both"/>
        <w:rPr>
          <w:b/>
          <w:color w:val="00205B"/>
          <w:sz w:val="32"/>
          <w:szCs w:val="32"/>
          <w:lang w:val="el-GR"/>
        </w:rPr>
      </w:pPr>
    </w:p>
    <w:p w14:paraId="6212A287" w14:textId="77777777" w:rsidR="00E84F92" w:rsidRPr="00E84F92" w:rsidRDefault="00E84F92" w:rsidP="00E84F92">
      <w:pPr>
        <w:pStyle w:val="P68B1DB1-BodyTextIndent32"/>
        <w:numPr>
          <w:ilvl w:val="0"/>
          <w:numId w:val="5"/>
        </w:numPr>
        <w:spacing w:before="120" w:after="360" w:line="360" w:lineRule="auto"/>
        <w:ind w:left="426" w:hanging="426"/>
        <w:jc w:val="both"/>
        <w:rPr>
          <w:rFonts w:ascii="Arial" w:hAnsi="Arial" w:cs="Arial"/>
          <w:i w:val="0"/>
          <w:szCs w:val="22"/>
        </w:rPr>
      </w:pPr>
      <w:r w:rsidRPr="00E84F92">
        <w:rPr>
          <w:rFonts w:ascii="Arial" w:hAnsi="Arial" w:cs="Arial"/>
          <w:i w:val="0"/>
          <w:szCs w:val="22"/>
        </w:rPr>
        <w:t>Εισαγωγικές παρατηρήσεις</w:t>
      </w:r>
    </w:p>
    <w:p w14:paraId="7FF20522"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Οι κεντρικές τράπεζες τα τελευταία 15 χρόνια</w:t>
      </w:r>
      <w:r w:rsidRPr="00E84F92">
        <w:rPr>
          <w:rFonts w:ascii="Arial" w:hAnsi="Arial" w:cs="Arial"/>
          <w:szCs w:val="22"/>
          <w:lang w:val="el-GR"/>
        </w:rPr>
        <w:t xml:space="preserve"> βρέθηκαν αντιμέτωπες με</w:t>
      </w:r>
      <w:r w:rsidRPr="00E84F92">
        <w:rPr>
          <w:rFonts w:ascii="Arial" w:hAnsi="Arial" w:cs="Arial"/>
          <w:szCs w:val="22"/>
        </w:rPr>
        <w:t xml:space="preserve"> σημαντικές προκλήσεις: παγκόσμια χρηματοπιστωτική </w:t>
      </w:r>
      <w:r w:rsidRPr="00E84F92">
        <w:rPr>
          <w:rFonts w:ascii="Arial" w:hAnsi="Arial" w:cs="Arial"/>
          <w:szCs w:val="22"/>
          <w:lang w:val="el-GR"/>
        </w:rPr>
        <w:t>κρίση</w:t>
      </w:r>
      <w:r w:rsidRPr="00E84F92">
        <w:rPr>
          <w:rFonts w:ascii="Arial" w:hAnsi="Arial" w:cs="Arial"/>
          <w:szCs w:val="22"/>
        </w:rPr>
        <w:t>, κρίση δημόσιου χρέους στη ζώνη του ευρώ, παρατεταμένη περίοδος πολύ χαμηλού πληθωρισμού, πανδημία</w:t>
      </w:r>
      <w:r w:rsidRPr="00E84F92">
        <w:rPr>
          <w:rFonts w:ascii="Arial" w:hAnsi="Arial" w:cs="Arial"/>
          <w:szCs w:val="22"/>
          <w:lang w:val="el-GR"/>
        </w:rPr>
        <w:t xml:space="preserve">, γεωπολιτικές κρίσεις, παράλληλα </w:t>
      </w:r>
      <w:r w:rsidRPr="00E84F92">
        <w:rPr>
          <w:rFonts w:ascii="Arial" w:hAnsi="Arial" w:cs="Arial"/>
          <w:szCs w:val="22"/>
        </w:rPr>
        <w:t xml:space="preserve">με μια σειρά </w:t>
      </w:r>
      <w:r w:rsidRPr="00E84F92">
        <w:rPr>
          <w:rFonts w:ascii="Arial" w:hAnsi="Arial" w:cs="Arial"/>
          <w:szCs w:val="22"/>
          <w:lang w:val="el-GR"/>
        </w:rPr>
        <w:t>διαταραχών</w:t>
      </w:r>
      <w:r w:rsidRPr="00E84F92">
        <w:rPr>
          <w:rFonts w:ascii="Arial" w:hAnsi="Arial" w:cs="Arial"/>
          <w:szCs w:val="22"/>
        </w:rPr>
        <w:t xml:space="preserve"> από την πλευρά της προσφοράς. </w:t>
      </w:r>
      <w:r w:rsidRPr="00E84F92">
        <w:rPr>
          <w:rFonts w:ascii="Arial" w:hAnsi="Arial" w:cs="Arial"/>
          <w:szCs w:val="22"/>
          <w:lang w:val="el-GR"/>
        </w:rPr>
        <w:t xml:space="preserve">Όλες </w:t>
      </w:r>
      <w:r w:rsidRPr="00E84F92">
        <w:rPr>
          <w:rFonts w:ascii="Arial" w:hAnsi="Arial" w:cs="Arial"/>
          <w:szCs w:val="22"/>
        </w:rPr>
        <w:t xml:space="preserve">αυτές </w:t>
      </w:r>
      <w:r w:rsidRPr="00E84F92">
        <w:rPr>
          <w:rFonts w:ascii="Arial" w:hAnsi="Arial" w:cs="Arial"/>
          <w:szCs w:val="22"/>
          <w:lang w:val="el-GR"/>
        </w:rPr>
        <w:t>οι</w:t>
      </w:r>
      <w:r w:rsidRPr="00E84F92">
        <w:rPr>
          <w:rFonts w:ascii="Arial" w:hAnsi="Arial" w:cs="Arial"/>
          <w:szCs w:val="22"/>
        </w:rPr>
        <w:t xml:space="preserve"> εξελίξεις </w:t>
      </w:r>
      <w:r w:rsidRPr="00E84F92">
        <w:rPr>
          <w:rFonts w:ascii="Arial" w:hAnsi="Arial" w:cs="Arial"/>
          <w:szCs w:val="22"/>
          <w:lang w:val="el-GR"/>
        </w:rPr>
        <w:t>έ</w:t>
      </w:r>
      <w:r w:rsidRPr="00E84F92">
        <w:rPr>
          <w:rFonts w:ascii="Arial" w:hAnsi="Arial" w:cs="Arial"/>
          <w:szCs w:val="22"/>
        </w:rPr>
        <w:t>χ</w:t>
      </w:r>
      <w:r w:rsidRPr="00E84F92">
        <w:rPr>
          <w:rFonts w:ascii="Arial" w:hAnsi="Arial" w:cs="Arial"/>
          <w:szCs w:val="22"/>
          <w:lang w:val="el-GR"/>
        </w:rPr>
        <w:t>ουν</w:t>
      </w:r>
      <w:r w:rsidRPr="00E84F92">
        <w:rPr>
          <w:rFonts w:ascii="Arial" w:hAnsi="Arial" w:cs="Arial"/>
          <w:szCs w:val="22"/>
        </w:rPr>
        <w:t xml:space="preserve"> επηρεάσει τον πληθωρισμό και την οικονομική δραστηριότητα</w:t>
      </w:r>
      <w:r w:rsidRPr="00E84F92">
        <w:rPr>
          <w:rFonts w:ascii="Arial" w:hAnsi="Arial" w:cs="Arial"/>
          <w:szCs w:val="22"/>
          <w:lang w:val="el-GR"/>
        </w:rPr>
        <w:t xml:space="preserve">, αλλά καθεμία </w:t>
      </w:r>
      <w:r w:rsidRPr="00E84F92">
        <w:rPr>
          <w:rFonts w:ascii="Arial" w:hAnsi="Arial" w:cs="Arial"/>
          <w:szCs w:val="22"/>
        </w:rPr>
        <w:t>με διαφορετικό τρόπο.</w:t>
      </w:r>
    </w:p>
    <w:p w14:paraId="02BBDF5E"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Όπως θα υποστηρίξω στη συνέχεια, </w:t>
      </w:r>
      <w:r w:rsidRPr="00E84F92">
        <w:rPr>
          <w:rFonts w:ascii="Arial" w:hAnsi="Arial" w:cs="Arial"/>
          <w:szCs w:val="22"/>
        </w:rPr>
        <w:t xml:space="preserve">τα μέτρα νομισματικής πολιτικής που </w:t>
      </w:r>
      <w:r w:rsidRPr="00E84F92">
        <w:rPr>
          <w:rFonts w:ascii="Arial" w:hAnsi="Arial" w:cs="Arial"/>
          <w:szCs w:val="22"/>
          <w:lang w:val="el-GR"/>
        </w:rPr>
        <w:t>υιοθέτησε</w:t>
      </w:r>
      <w:r w:rsidRPr="00E84F92">
        <w:rPr>
          <w:rFonts w:ascii="Arial" w:hAnsi="Arial" w:cs="Arial"/>
          <w:szCs w:val="22"/>
        </w:rPr>
        <w:t xml:space="preserve"> η ΕΚΤ κατά την περίοδο αυτή ‒ συμπεριλαμβανομένης της </w:t>
      </w:r>
      <w:r w:rsidRPr="00E84F92">
        <w:rPr>
          <w:rFonts w:ascii="Arial" w:hAnsi="Arial" w:cs="Arial"/>
          <w:szCs w:val="22"/>
          <w:lang w:val="el-GR"/>
        </w:rPr>
        <w:t>μείωσης του επιτοκίου πολιτικής σε αρνητικά επίπεδα, στα οποία παρέμεινε επί μια οκταετία</w:t>
      </w:r>
      <w:r w:rsidRPr="00E84F92">
        <w:rPr>
          <w:rFonts w:ascii="Arial" w:hAnsi="Arial" w:cs="Arial"/>
          <w:szCs w:val="22"/>
        </w:rPr>
        <w:t xml:space="preserve"> ‒ </w:t>
      </w:r>
      <w:r w:rsidRPr="00E84F92">
        <w:rPr>
          <w:rFonts w:ascii="Arial" w:hAnsi="Arial" w:cs="Arial"/>
          <w:szCs w:val="22"/>
          <w:lang w:val="el-GR"/>
        </w:rPr>
        <w:t xml:space="preserve">συνέβαλαν σε μια διαρκή </w:t>
      </w:r>
      <w:r w:rsidRPr="00E84F92">
        <w:rPr>
          <w:rFonts w:ascii="Arial" w:hAnsi="Arial" w:cs="Arial"/>
          <w:szCs w:val="22"/>
        </w:rPr>
        <w:t xml:space="preserve">πρόοδο προς τη σταθερότητα των τιμών, </w:t>
      </w:r>
      <w:r w:rsidRPr="00E84F92">
        <w:rPr>
          <w:rFonts w:ascii="Arial" w:hAnsi="Arial" w:cs="Arial"/>
          <w:szCs w:val="22"/>
          <w:lang w:val="el-GR"/>
        </w:rPr>
        <w:t xml:space="preserve">ενώ ταυτόχρονα </w:t>
      </w:r>
      <w:r w:rsidRPr="00E84F92">
        <w:rPr>
          <w:rFonts w:ascii="Arial" w:hAnsi="Arial" w:cs="Arial"/>
          <w:szCs w:val="22"/>
        </w:rPr>
        <w:t>διασφ</w:t>
      </w:r>
      <w:r w:rsidRPr="00E84F92">
        <w:rPr>
          <w:rFonts w:ascii="Arial" w:hAnsi="Arial" w:cs="Arial"/>
          <w:szCs w:val="22"/>
          <w:lang w:val="el-GR"/>
        </w:rPr>
        <w:t xml:space="preserve">άλισαν </w:t>
      </w:r>
      <w:r w:rsidRPr="00E84F92">
        <w:rPr>
          <w:rFonts w:ascii="Arial" w:hAnsi="Arial" w:cs="Arial"/>
          <w:szCs w:val="22"/>
        </w:rPr>
        <w:t xml:space="preserve">τη χρηματοπιστωτική σταθερότητα και </w:t>
      </w:r>
      <w:r w:rsidRPr="00E84F92">
        <w:rPr>
          <w:rFonts w:ascii="Arial" w:hAnsi="Arial" w:cs="Arial"/>
          <w:szCs w:val="22"/>
          <w:lang w:val="el-GR"/>
        </w:rPr>
        <w:t>σ</w:t>
      </w:r>
      <w:r w:rsidRPr="00E84F92">
        <w:rPr>
          <w:rFonts w:ascii="Arial" w:hAnsi="Arial" w:cs="Arial"/>
          <w:szCs w:val="22"/>
        </w:rPr>
        <w:t>τ</w:t>
      </w:r>
      <w:r w:rsidRPr="00E84F92">
        <w:rPr>
          <w:rFonts w:ascii="Arial" w:hAnsi="Arial" w:cs="Arial"/>
          <w:szCs w:val="22"/>
          <w:lang w:val="el-GR"/>
        </w:rPr>
        <w:t xml:space="preserve">ήριξαν </w:t>
      </w:r>
      <w:r w:rsidRPr="00E84F92">
        <w:rPr>
          <w:rFonts w:ascii="Arial" w:hAnsi="Arial" w:cs="Arial"/>
          <w:szCs w:val="22"/>
        </w:rPr>
        <w:t xml:space="preserve">την οικονομική ευημερία. </w:t>
      </w:r>
    </w:p>
    <w:p w14:paraId="7C74CFEB"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Από την άλλη πλευρά όμως, η πολιτική αυτή είχε και δυνητικές ανεπιθύμητες συνέπειες, που επίσης έπρεπε να ληφθούν υπόψη. Με την πάροδο του χρόνου, </w:t>
      </w:r>
      <w:r w:rsidRPr="00E84F92">
        <w:rPr>
          <w:rFonts w:ascii="Arial" w:hAnsi="Arial" w:cs="Arial"/>
          <w:szCs w:val="22"/>
        </w:rPr>
        <w:t xml:space="preserve">τα χαμηλά επιτόκια </w:t>
      </w:r>
      <w:r w:rsidRPr="00E84F92">
        <w:rPr>
          <w:rFonts w:ascii="Arial" w:hAnsi="Arial" w:cs="Arial"/>
          <w:szCs w:val="22"/>
          <w:lang w:val="el-GR"/>
        </w:rPr>
        <w:t xml:space="preserve">και τα μη συμβατικά μέτρα νομισματικής πολιτικής είναι δυνατόν </w:t>
      </w:r>
      <w:r w:rsidRPr="00E84F92">
        <w:rPr>
          <w:rFonts w:ascii="Arial" w:hAnsi="Arial" w:cs="Arial"/>
          <w:szCs w:val="22"/>
        </w:rPr>
        <w:t>να οδηγήσουν σε υπερβολική μόχλευση και να προκαλέσουν βραχυ</w:t>
      </w:r>
      <w:r w:rsidRPr="00E84F92">
        <w:rPr>
          <w:rFonts w:ascii="Arial" w:hAnsi="Arial" w:cs="Arial"/>
          <w:szCs w:val="22"/>
          <w:lang w:val="el-GR"/>
        </w:rPr>
        <w:t>χρόνιες</w:t>
      </w:r>
      <w:r w:rsidRPr="00E84F92">
        <w:rPr>
          <w:rFonts w:ascii="Arial" w:hAnsi="Arial" w:cs="Arial"/>
          <w:szCs w:val="22"/>
        </w:rPr>
        <w:t xml:space="preserve"> </w:t>
      </w:r>
      <w:r w:rsidRPr="00E84F92">
        <w:rPr>
          <w:rFonts w:ascii="Arial" w:hAnsi="Arial" w:cs="Arial"/>
          <w:szCs w:val="22"/>
          <w:lang w:val="el-GR"/>
        </w:rPr>
        <w:t xml:space="preserve">δυσλειτουργίες </w:t>
      </w:r>
      <w:r w:rsidRPr="00E84F92">
        <w:rPr>
          <w:rFonts w:ascii="Arial" w:hAnsi="Arial" w:cs="Arial"/>
          <w:szCs w:val="22"/>
        </w:rPr>
        <w:t xml:space="preserve">στις χρηματοπιστωτικές αγορές. </w:t>
      </w:r>
      <w:r w:rsidRPr="00E84F92">
        <w:rPr>
          <w:rFonts w:ascii="Arial" w:hAnsi="Arial" w:cs="Arial"/>
          <w:szCs w:val="22"/>
          <w:lang w:val="el-GR"/>
        </w:rPr>
        <w:t xml:space="preserve">Επιπλέον, όπως είδαμε πρόσφατα, η μεταστροφή της κατεύθυνσης της νομισματικής πολιτικής, με σκοπό την καταπολέμηση του πληθωρισμού, μπορεί να προκαλέσει ζημίες στις κεντρικές τράπεζες, γιατί οι υποχρεώσεις τους βαρύνονται με υψηλότερα επιτόκια, ενώ τα στοιχεία ενεργητικού τους έχουν “κλειδώσει” χαμηλές αποδόσεις. Το ερώτημα είναι: Υπονομεύουν αυτές οι ζημίες την ικανότητα των κεντρικών τραπεζών να εφαρμόζουν τους ενδεδειγμένους κανόνες νομισματικής πολιτικής; </w:t>
      </w:r>
      <w:r w:rsidRPr="00E84F92">
        <w:rPr>
          <w:rFonts w:ascii="Arial" w:hAnsi="Arial" w:cs="Arial"/>
          <w:szCs w:val="22"/>
          <w:lang w:val="el-GR"/>
        </w:rPr>
        <w:lastRenderedPageBreak/>
        <w:t xml:space="preserve">Θέτουν σε κίνδυνο την ανεξαρτησία τους; Όπως θα εξηγήσω στη συνέχεια, η απάντηση σ’ αυτό το ερώτημα είναι αρνητική. </w:t>
      </w:r>
    </w:p>
    <w:p w14:paraId="2859621C"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Ωστόσο, </w:t>
      </w:r>
      <w:r w:rsidRPr="00E84F92">
        <w:rPr>
          <w:rFonts w:ascii="Arial" w:hAnsi="Arial" w:cs="Arial"/>
          <w:szCs w:val="22"/>
          <w:lang w:val="el-GR"/>
        </w:rPr>
        <w:t xml:space="preserve">έχουμε αντλήσει σημαντικά διδάγματα από </w:t>
      </w:r>
      <w:r w:rsidRPr="00E84F92">
        <w:rPr>
          <w:rFonts w:ascii="Arial" w:hAnsi="Arial" w:cs="Arial"/>
          <w:szCs w:val="22"/>
        </w:rPr>
        <w:t>τ</w:t>
      </w:r>
      <w:r w:rsidRPr="00E84F92">
        <w:rPr>
          <w:rFonts w:ascii="Arial" w:hAnsi="Arial" w:cs="Arial"/>
          <w:szCs w:val="22"/>
          <w:lang w:val="el-GR"/>
        </w:rPr>
        <w:t>ην</w:t>
      </w:r>
      <w:r w:rsidRPr="00E84F92">
        <w:rPr>
          <w:rFonts w:ascii="Arial" w:hAnsi="Arial" w:cs="Arial"/>
          <w:szCs w:val="22"/>
        </w:rPr>
        <w:t xml:space="preserve"> πρόσφατ</w:t>
      </w:r>
      <w:r w:rsidRPr="00E84F92">
        <w:rPr>
          <w:rFonts w:ascii="Arial" w:hAnsi="Arial" w:cs="Arial"/>
          <w:szCs w:val="22"/>
          <w:lang w:val="el-GR"/>
        </w:rPr>
        <w:t>η εμπειρία</w:t>
      </w:r>
      <w:r w:rsidRPr="00E84F92">
        <w:rPr>
          <w:rFonts w:ascii="Arial" w:hAnsi="Arial" w:cs="Arial"/>
          <w:szCs w:val="22"/>
        </w:rPr>
        <w:t xml:space="preserve">. </w:t>
      </w:r>
      <w:r w:rsidRPr="00E84F92">
        <w:rPr>
          <w:rFonts w:ascii="Arial" w:hAnsi="Arial" w:cs="Arial"/>
          <w:szCs w:val="22"/>
          <w:lang w:val="el-GR"/>
        </w:rPr>
        <w:t xml:space="preserve">Οι πολιτικές μας (μικροπροληπτική, μακροπροληπτική, </w:t>
      </w:r>
      <w:r w:rsidRPr="00E84F92">
        <w:rPr>
          <w:rFonts w:ascii="Arial" w:hAnsi="Arial" w:cs="Arial"/>
          <w:szCs w:val="22"/>
        </w:rPr>
        <w:t xml:space="preserve">διαχείρισης </w:t>
      </w:r>
      <w:r w:rsidRPr="00E84F92">
        <w:rPr>
          <w:rFonts w:ascii="Arial" w:hAnsi="Arial" w:cs="Arial"/>
          <w:szCs w:val="22"/>
          <w:lang w:val="el-GR"/>
        </w:rPr>
        <w:t>τραπεζικών κρίσεων)</w:t>
      </w:r>
      <w:r w:rsidRPr="00E84F92">
        <w:rPr>
          <w:rFonts w:ascii="Arial" w:hAnsi="Arial" w:cs="Arial"/>
          <w:szCs w:val="22"/>
        </w:rPr>
        <w:t xml:space="preserve"> έχουν ενισχυθεί ‒ ιδίως με μέτρα για τη δημιουργία και </w:t>
      </w:r>
      <w:r w:rsidRPr="00E84F92">
        <w:rPr>
          <w:rFonts w:ascii="Arial" w:hAnsi="Arial" w:cs="Arial"/>
          <w:szCs w:val="22"/>
          <w:lang w:val="el-GR"/>
        </w:rPr>
        <w:t xml:space="preserve">την ενδυνάμωση της </w:t>
      </w:r>
      <w:r w:rsidRPr="00E84F92">
        <w:rPr>
          <w:rFonts w:ascii="Arial" w:hAnsi="Arial" w:cs="Arial"/>
          <w:szCs w:val="22"/>
        </w:rPr>
        <w:t>Τραπεζικής Ένωσης</w:t>
      </w:r>
      <w:r w:rsidRPr="00E84F92">
        <w:rPr>
          <w:rFonts w:ascii="Arial" w:hAnsi="Arial" w:cs="Arial"/>
          <w:szCs w:val="22"/>
          <w:lang w:val="el-GR"/>
        </w:rPr>
        <w:t xml:space="preserve"> </w:t>
      </w:r>
      <w:r w:rsidRPr="00E84F92">
        <w:rPr>
          <w:rFonts w:ascii="Arial" w:hAnsi="Arial" w:cs="Arial"/>
          <w:szCs w:val="22"/>
        </w:rPr>
        <w:t xml:space="preserve">‒ καθιστώντας το χρηματοπιστωτικό σύστημα πιο ανθεκτικό </w:t>
      </w:r>
      <w:r w:rsidRPr="00E84F92">
        <w:rPr>
          <w:rFonts w:ascii="Arial" w:hAnsi="Arial" w:cs="Arial"/>
          <w:szCs w:val="22"/>
          <w:lang w:val="el-GR"/>
        </w:rPr>
        <w:t>στις</w:t>
      </w:r>
      <w:r w:rsidRPr="00E84F92">
        <w:rPr>
          <w:rFonts w:ascii="Arial" w:hAnsi="Arial" w:cs="Arial"/>
          <w:szCs w:val="22"/>
        </w:rPr>
        <w:t xml:space="preserve"> μελλοντικές προκλήσεις. </w:t>
      </w:r>
    </w:p>
    <w:p w14:paraId="0815A0C5" w14:textId="77777777" w:rsidR="00E84F92" w:rsidRPr="00E84F92" w:rsidRDefault="00E84F92" w:rsidP="00E84F92">
      <w:pPr>
        <w:pStyle w:val="BodyTextIndent3"/>
        <w:spacing w:before="120" w:line="360" w:lineRule="auto"/>
        <w:ind w:left="357"/>
        <w:jc w:val="both"/>
        <w:rPr>
          <w:sz w:val="22"/>
          <w:szCs w:val="22"/>
          <w:lang w:val="el-GR"/>
        </w:rPr>
      </w:pPr>
    </w:p>
    <w:p w14:paraId="40C55BD1" w14:textId="77777777" w:rsidR="00E84F92" w:rsidRPr="00E84F92" w:rsidRDefault="00E84F92" w:rsidP="00E84F92">
      <w:pPr>
        <w:pStyle w:val="P68B1DB1-BodyTextIndent32"/>
        <w:numPr>
          <w:ilvl w:val="0"/>
          <w:numId w:val="5"/>
        </w:numPr>
        <w:spacing w:before="120" w:after="360" w:line="360" w:lineRule="auto"/>
        <w:ind w:left="426" w:hanging="426"/>
        <w:jc w:val="both"/>
        <w:rPr>
          <w:rFonts w:ascii="Arial" w:hAnsi="Arial" w:cs="Arial"/>
          <w:szCs w:val="22"/>
        </w:rPr>
      </w:pPr>
      <w:r w:rsidRPr="00E84F92">
        <w:rPr>
          <w:rFonts w:ascii="Arial" w:hAnsi="Arial" w:cs="Arial"/>
          <w:szCs w:val="22"/>
          <w:lang w:val="el-GR"/>
        </w:rPr>
        <w:t>Το σ</w:t>
      </w:r>
      <w:r w:rsidRPr="00E84F92">
        <w:rPr>
          <w:rFonts w:ascii="Arial" w:hAnsi="Arial" w:cs="Arial"/>
          <w:szCs w:val="22"/>
        </w:rPr>
        <w:t xml:space="preserve">κεπτικό </w:t>
      </w:r>
      <w:r w:rsidRPr="00E84F92">
        <w:rPr>
          <w:rFonts w:ascii="Arial" w:hAnsi="Arial" w:cs="Arial"/>
          <w:szCs w:val="22"/>
          <w:lang w:val="el-GR"/>
        </w:rPr>
        <w:t xml:space="preserve">της </w:t>
      </w:r>
      <w:r w:rsidRPr="00E84F92">
        <w:rPr>
          <w:rFonts w:ascii="Arial" w:hAnsi="Arial" w:cs="Arial"/>
          <w:szCs w:val="22"/>
        </w:rPr>
        <w:t>πολιτική</w:t>
      </w:r>
      <w:r w:rsidRPr="00E84F92">
        <w:rPr>
          <w:rFonts w:ascii="Arial" w:hAnsi="Arial" w:cs="Arial"/>
          <w:szCs w:val="22"/>
          <w:lang w:val="el-GR"/>
        </w:rPr>
        <w:t>ς</w:t>
      </w:r>
      <w:r w:rsidRPr="00E84F92">
        <w:rPr>
          <w:rFonts w:ascii="Arial" w:hAnsi="Arial" w:cs="Arial"/>
          <w:szCs w:val="22"/>
        </w:rPr>
        <w:t xml:space="preserve"> </w:t>
      </w:r>
      <w:r w:rsidRPr="00E84F92">
        <w:rPr>
          <w:rFonts w:ascii="Arial" w:hAnsi="Arial" w:cs="Arial"/>
          <w:szCs w:val="22"/>
          <w:lang w:val="el-GR"/>
        </w:rPr>
        <w:t xml:space="preserve">αρνητικών </w:t>
      </w:r>
      <w:r w:rsidRPr="00E84F92">
        <w:rPr>
          <w:rFonts w:ascii="Arial" w:hAnsi="Arial" w:cs="Arial"/>
          <w:szCs w:val="22"/>
        </w:rPr>
        <w:t>επιτ</w:t>
      </w:r>
      <w:r w:rsidRPr="00E84F92">
        <w:rPr>
          <w:rFonts w:ascii="Arial" w:hAnsi="Arial" w:cs="Arial"/>
          <w:szCs w:val="22"/>
          <w:lang w:val="el-GR"/>
        </w:rPr>
        <w:t>οκίων</w:t>
      </w:r>
      <w:r w:rsidRPr="00E84F92">
        <w:rPr>
          <w:rFonts w:ascii="Arial" w:hAnsi="Arial" w:cs="Arial"/>
          <w:szCs w:val="22"/>
        </w:rPr>
        <w:t xml:space="preserve"> στη ζώνη του ευρώ </w:t>
      </w:r>
    </w:p>
    <w:p w14:paraId="6E6027E1"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Κατ’ αρχάς θα ήθελα να αναφερθώ στους παράγοντες </w:t>
      </w:r>
      <w:r w:rsidRPr="00E84F92">
        <w:rPr>
          <w:rFonts w:ascii="Arial" w:hAnsi="Arial" w:cs="Arial"/>
          <w:szCs w:val="22"/>
        </w:rPr>
        <w:t>που δικαιολογούσαν την υιοθέτηση διευκολυντικής νομισματικής πολιτικής στη ζώνη του ευρώ για περισσότερο από μια δεκαετία ‒ δηλαδή πριν από την πρόσφατη αύξηση του πληθωρισμού.</w:t>
      </w:r>
    </w:p>
    <w:p w14:paraId="79E6E376"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Η αρχιτεκτονική της ζώνης του ευρώ</w:t>
      </w:r>
      <w:r w:rsidRPr="00E84F92">
        <w:rPr>
          <w:rFonts w:ascii="Arial" w:hAnsi="Arial" w:cs="Arial"/>
          <w:szCs w:val="22"/>
          <w:lang w:val="el-GR"/>
        </w:rPr>
        <w:t xml:space="preserve">, σύμφωνα με τον αρχικό σχεδιασμό της, </w:t>
      </w:r>
      <w:r w:rsidRPr="00E84F92">
        <w:rPr>
          <w:rFonts w:ascii="Arial" w:hAnsi="Arial" w:cs="Arial"/>
          <w:szCs w:val="22"/>
        </w:rPr>
        <w:t xml:space="preserve">δεν </w:t>
      </w:r>
      <w:r w:rsidRPr="00E84F92">
        <w:rPr>
          <w:rFonts w:ascii="Arial" w:hAnsi="Arial" w:cs="Arial"/>
          <w:szCs w:val="22"/>
          <w:lang w:val="el-GR"/>
        </w:rPr>
        <w:t xml:space="preserve">προέβλεπε κατάλληλα εργαλεία </w:t>
      </w:r>
      <w:r w:rsidRPr="00E84F92">
        <w:rPr>
          <w:rFonts w:ascii="Arial" w:hAnsi="Arial" w:cs="Arial"/>
          <w:szCs w:val="22"/>
        </w:rPr>
        <w:t xml:space="preserve">για την αποτελεσματική διαχείριση </w:t>
      </w:r>
      <w:r w:rsidRPr="00E84F92">
        <w:rPr>
          <w:rFonts w:ascii="Arial" w:hAnsi="Arial" w:cs="Arial"/>
          <w:szCs w:val="22"/>
          <w:lang w:val="el-GR"/>
        </w:rPr>
        <w:t>σοβαρών</w:t>
      </w:r>
      <w:r w:rsidRPr="00E84F92">
        <w:rPr>
          <w:rFonts w:ascii="Arial" w:hAnsi="Arial" w:cs="Arial"/>
          <w:szCs w:val="22"/>
        </w:rPr>
        <w:t xml:space="preserve"> μακροοικονομικών κρίσεων, όπως αυτές που εκτυλίχθηκαν το 2008, με το ξ</w:t>
      </w:r>
      <w:r w:rsidRPr="00E84F92">
        <w:rPr>
          <w:rFonts w:ascii="Arial" w:hAnsi="Arial" w:cs="Arial"/>
          <w:szCs w:val="22"/>
          <w:lang w:val="el-GR"/>
        </w:rPr>
        <w:t>έσπασμα τ</w:t>
      </w:r>
      <w:r w:rsidRPr="00E84F92">
        <w:rPr>
          <w:rFonts w:ascii="Arial" w:hAnsi="Arial" w:cs="Arial"/>
          <w:szCs w:val="22"/>
        </w:rPr>
        <w:t xml:space="preserve">ης μεγάλης χρηματοπιστωτικής κρίσης, και το 2010, με την κρίση δημόσιου χρέους </w:t>
      </w:r>
      <w:r w:rsidRPr="00E84F92">
        <w:rPr>
          <w:rFonts w:ascii="Arial" w:hAnsi="Arial" w:cs="Arial"/>
          <w:szCs w:val="22"/>
          <w:lang w:val="el-GR"/>
        </w:rPr>
        <w:t>στη</w:t>
      </w:r>
      <w:r w:rsidRPr="00E84F92">
        <w:rPr>
          <w:rFonts w:ascii="Arial" w:hAnsi="Arial" w:cs="Arial"/>
          <w:szCs w:val="22"/>
        </w:rPr>
        <w:t xml:space="preserve"> ζώνη του ευρώ. Η νομισματική μας ένωση δεν διέθετε εργαλεία διαχείρισης </w:t>
      </w:r>
      <w:r w:rsidRPr="00E84F92">
        <w:rPr>
          <w:rFonts w:ascii="Arial" w:hAnsi="Arial" w:cs="Arial"/>
          <w:szCs w:val="22"/>
          <w:lang w:val="el-GR"/>
        </w:rPr>
        <w:t xml:space="preserve">τραπεζικών </w:t>
      </w:r>
      <w:r w:rsidRPr="00E84F92">
        <w:rPr>
          <w:rFonts w:ascii="Arial" w:hAnsi="Arial" w:cs="Arial"/>
          <w:szCs w:val="22"/>
        </w:rPr>
        <w:t xml:space="preserve">κρίσεων και </w:t>
      </w:r>
      <w:r w:rsidRPr="00E84F92">
        <w:rPr>
          <w:rFonts w:ascii="Arial" w:hAnsi="Arial" w:cs="Arial"/>
          <w:szCs w:val="22"/>
          <w:lang w:val="el-GR"/>
        </w:rPr>
        <w:t>εξυγίανσης</w:t>
      </w:r>
      <w:r w:rsidRPr="00E84F92">
        <w:rPr>
          <w:rFonts w:ascii="Arial" w:hAnsi="Arial" w:cs="Arial"/>
          <w:szCs w:val="22"/>
        </w:rPr>
        <w:t xml:space="preserve"> </w:t>
      </w:r>
      <w:r w:rsidRPr="00E84F92">
        <w:rPr>
          <w:rFonts w:ascii="Arial" w:hAnsi="Arial" w:cs="Arial"/>
          <w:szCs w:val="22"/>
          <w:lang w:val="el-GR"/>
        </w:rPr>
        <w:t xml:space="preserve">πιστωτικών ιδρυμάτων </w:t>
      </w:r>
      <w:r w:rsidRPr="00E84F92">
        <w:rPr>
          <w:rFonts w:ascii="Arial" w:hAnsi="Arial" w:cs="Arial"/>
          <w:szCs w:val="22"/>
        </w:rPr>
        <w:t xml:space="preserve">και </w:t>
      </w:r>
      <w:r w:rsidRPr="00E84F92">
        <w:rPr>
          <w:rFonts w:ascii="Arial" w:hAnsi="Arial" w:cs="Arial"/>
          <w:szCs w:val="22"/>
          <w:lang w:val="el-GR"/>
        </w:rPr>
        <w:t>η τραπεζική ένωση βρισκόταν ακόμη στα πρώτα της βήματα</w:t>
      </w:r>
      <w:r w:rsidRPr="00E84F92">
        <w:rPr>
          <w:rFonts w:ascii="Arial" w:hAnsi="Arial" w:cs="Arial"/>
          <w:szCs w:val="22"/>
        </w:rPr>
        <w:t xml:space="preserve">. Ως εκ τούτου, </w:t>
      </w:r>
      <w:r w:rsidRPr="00E84F92">
        <w:rPr>
          <w:rFonts w:ascii="Arial" w:hAnsi="Arial" w:cs="Arial"/>
          <w:szCs w:val="22"/>
          <w:lang w:val="el-GR"/>
        </w:rPr>
        <w:t>οι ενέργειες που αναλήφθηκαν ως απάντηση στις κρίσεις περιλάμβαναν όχι μόνο τη λήψη δραστικών μέτρων</w:t>
      </w:r>
      <w:r w:rsidRPr="00E84F92">
        <w:rPr>
          <w:rFonts w:ascii="Arial" w:hAnsi="Arial" w:cs="Arial"/>
          <w:szCs w:val="22"/>
        </w:rPr>
        <w:t xml:space="preserve">, αλλά και </w:t>
      </w:r>
      <w:r w:rsidRPr="00E84F92">
        <w:rPr>
          <w:rFonts w:ascii="Arial" w:hAnsi="Arial" w:cs="Arial"/>
          <w:szCs w:val="22"/>
          <w:lang w:val="el-GR"/>
        </w:rPr>
        <w:t>τη δημιουργία νέων μηχανισμών</w:t>
      </w:r>
      <w:r w:rsidRPr="00E84F92">
        <w:rPr>
          <w:rFonts w:ascii="Arial" w:hAnsi="Arial" w:cs="Arial"/>
          <w:szCs w:val="22"/>
        </w:rPr>
        <w:t xml:space="preserve">, </w:t>
      </w:r>
      <w:r w:rsidRPr="00E84F92">
        <w:rPr>
          <w:rFonts w:ascii="Arial" w:hAnsi="Arial" w:cs="Arial"/>
          <w:szCs w:val="22"/>
          <w:lang w:val="el-GR"/>
        </w:rPr>
        <w:t xml:space="preserve">μια </w:t>
      </w:r>
      <w:r w:rsidRPr="00E84F92">
        <w:rPr>
          <w:rFonts w:ascii="Arial" w:hAnsi="Arial" w:cs="Arial"/>
          <w:szCs w:val="22"/>
        </w:rPr>
        <w:t xml:space="preserve">διαδικασία που </w:t>
      </w:r>
      <w:r w:rsidRPr="00E84F92">
        <w:rPr>
          <w:rFonts w:ascii="Arial" w:hAnsi="Arial" w:cs="Arial"/>
          <w:szCs w:val="22"/>
          <w:lang w:val="el-GR"/>
        </w:rPr>
        <w:t>βρίσκεται ακόμη σε εξέλιξη</w:t>
      </w:r>
      <w:r w:rsidRPr="00E84F92">
        <w:rPr>
          <w:rFonts w:ascii="Arial" w:hAnsi="Arial" w:cs="Arial"/>
          <w:szCs w:val="22"/>
        </w:rPr>
        <w:t>.</w:t>
      </w:r>
    </w:p>
    <w:p w14:paraId="29B12878"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Όσον αφορά τη νομισματική πολιτική, </w:t>
      </w:r>
      <w:r w:rsidRPr="00E84F92">
        <w:rPr>
          <w:rFonts w:ascii="Arial" w:hAnsi="Arial" w:cs="Arial"/>
          <w:szCs w:val="22"/>
          <w:lang w:val="el-GR"/>
        </w:rPr>
        <w:t xml:space="preserve">η πτώση του γενικού επιπέδου </w:t>
      </w:r>
      <w:r w:rsidRPr="00E84F92">
        <w:rPr>
          <w:rFonts w:ascii="Arial" w:hAnsi="Arial" w:cs="Arial"/>
          <w:szCs w:val="22"/>
        </w:rPr>
        <w:t xml:space="preserve">των τιμών και </w:t>
      </w:r>
      <w:r w:rsidRPr="00E84F92">
        <w:rPr>
          <w:rFonts w:ascii="Arial" w:hAnsi="Arial" w:cs="Arial"/>
          <w:szCs w:val="22"/>
          <w:lang w:val="el-GR"/>
        </w:rPr>
        <w:t>του ρυθμού</w:t>
      </w:r>
      <w:r w:rsidRPr="00E84F92">
        <w:rPr>
          <w:rFonts w:ascii="Arial" w:hAnsi="Arial" w:cs="Arial"/>
          <w:szCs w:val="22"/>
        </w:rPr>
        <w:t xml:space="preserve"> ανάπτυξη</w:t>
      </w:r>
      <w:r w:rsidRPr="00E84F92">
        <w:rPr>
          <w:rFonts w:ascii="Arial" w:hAnsi="Arial" w:cs="Arial"/>
          <w:szCs w:val="22"/>
          <w:lang w:val="el-GR"/>
        </w:rPr>
        <w:t>ς</w:t>
      </w:r>
      <w:r w:rsidRPr="00E84F92">
        <w:rPr>
          <w:rFonts w:ascii="Arial" w:hAnsi="Arial" w:cs="Arial"/>
          <w:szCs w:val="22"/>
        </w:rPr>
        <w:t xml:space="preserve"> </w:t>
      </w:r>
      <w:r w:rsidRPr="00E84F92">
        <w:rPr>
          <w:rFonts w:ascii="Arial" w:hAnsi="Arial" w:cs="Arial"/>
          <w:szCs w:val="22"/>
          <w:lang w:val="el-GR"/>
        </w:rPr>
        <w:t xml:space="preserve">καθιστούσε αναγκαία τη </w:t>
      </w:r>
      <w:r w:rsidRPr="00E84F92">
        <w:rPr>
          <w:rFonts w:ascii="Arial" w:hAnsi="Arial" w:cs="Arial"/>
          <w:szCs w:val="22"/>
        </w:rPr>
        <w:t>σημαντική χαλάρωσ</w:t>
      </w:r>
      <w:r w:rsidRPr="00E84F92">
        <w:rPr>
          <w:rFonts w:ascii="Arial" w:hAnsi="Arial" w:cs="Arial"/>
          <w:szCs w:val="22"/>
          <w:lang w:val="el-GR"/>
        </w:rPr>
        <w:t>ή της</w:t>
      </w:r>
      <w:r w:rsidRPr="00E84F92">
        <w:rPr>
          <w:rFonts w:ascii="Arial" w:hAnsi="Arial" w:cs="Arial"/>
          <w:szCs w:val="22"/>
        </w:rPr>
        <w:t>, προκειμένου να αν</w:t>
      </w:r>
      <w:r w:rsidRPr="00E84F92">
        <w:rPr>
          <w:rFonts w:ascii="Arial" w:hAnsi="Arial" w:cs="Arial"/>
          <w:szCs w:val="22"/>
          <w:lang w:val="el-GR"/>
        </w:rPr>
        <w:t xml:space="preserve">αχαιτιστούν </w:t>
      </w:r>
      <w:r w:rsidRPr="00E84F92">
        <w:rPr>
          <w:rFonts w:ascii="Arial" w:hAnsi="Arial" w:cs="Arial"/>
          <w:szCs w:val="22"/>
        </w:rPr>
        <w:t xml:space="preserve">οι αποπληθωριστικές </w:t>
      </w:r>
      <w:r w:rsidRPr="00E84F92">
        <w:rPr>
          <w:rFonts w:ascii="Arial" w:hAnsi="Arial" w:cs="Arial"/>
          <w:szCs w:val="22"/>
          <w:lang w:val="el-GR"/>
        </w:rPr>
        <w:t>πιέσεις,</w:t>
      </w:r>
      <w:r w:rsidRPr="00E84F92">
        <w:rPr>
          <w:rFonts w:ascii="Arial" w:hAnsi="Arial" w:cs="Arial"/>
          <w:szCs w:val="22"/>
        </w:rPr>
        <w:t xml:space="preserve"> </w:t>
      </w:r>
      <w:r w:rsidRPr="00E84F92">
        <w:rPr>
          <w:rFonts w:ascii="Arial" w:hAnsi="Arial" w:cs="Arial"/>
          <w:szCs w:val="22"/>
          <w:lang w:val="el-GR"/>
        </w:rPr>
        <w:t xml:space="preserve">να αποτραπεί μια κατάσταση </w:t>
      </w:r>
      <w:r w:rsidRPr="00E84F92">
        <w:rPr>
          <w:rFonts w:ascii="Arial" w:hAnsi="Arial" w:cs="Arial"/>
          <w:szCs w:val="22"/>
        </w:rPr>
        <w:t>πιστωτική</w:t>
      </w:r>
      <w:r w:rsidRPr="00E84F92">
        <w:rPr>
          <w:rFonts w:ascii="Arial" w:hAnsi="Arial" w:cs="Arial"/>
          <w:szCs w:val="22"/>
          <w:lang w:val="el-GR"/>
        </w:rPr>
        <w:t>ς</w:t>
      </w:r>
      <w:r w:rsidRPr="00E84F92">
        <w:rPr>
          <w:rFonts w:ascii="Arial" w:hAnsi="Arial" w:cs="Arial"/>
          <w:szCs w:val="22"/>
        </w:rPr>
        <w:t xml:space="preserve"> ασφυξία</w:t>
      </w:r>
      <w:r w:rsidRPr="00E84F92">
        <w:rPr>
          <w:rFonts w:ascii="Arial" w:hAnsi="Arial" w:cs="Arial"/>
          <w:szCs w:val="22"/>
          <w:lang w:val="el-GR"/>
        </w:rPr>
        <w:t>ς</w:t>
      </w:r>
      <w:r w:rsidRPr="00E84F92">
        <w:rPr>
          <w:rFonts w:ascii="Arial" w:hAnsi="Arial" w:cs="Arial"/>
          <w:szCs w:val="22"/>
        </w:rPr>
        <w:t xml:space="preserve"> και να αποφευχθεί η επιβράδυνση της οικονομικής δραστηριότητας. </w:t>
      </w:r>
    </w:p>
    <w:p w14:paraId="0C6A4E27"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Η ΕΚΤ ανέπτυξε τολμηρά </w:t>
      </w:r>
      <w:r w:rsidRPr="00E84F92">
        <w:rPr>
          <w:rFonts w:ascii="Arial" w:hAnsi="Arial" w:cs="Arial"/>
          <w:szCs w:val="22"/>
          <w:lang w:val="el-GR"/>
        </w:rPr>
        <w:t xml:space="preserve">συμβατικά και μη συμβατικά </w:t>
      </w:r>
      <w:r w:rsidRPr="00E84F92">
        <w:rPr>
          <w:rFonts w:ascii="Arial" w:hAnsi="Arial" w:cs="Arial"/>
          <w:szCs w:val="22"/>
        </w:rPr>
        <w:t>μέτρα</w:t>
      </w:r>
      <w:r w:rsidRPr="00E84F92">
        <w:rPr>
          <w:rFonts w:ascii="Arial" w:hAnsi="Arial" w:cs="Arial"/>
          <w:szCs w:val="22"/>
          <w:lang w:val="el-GR"/>
        </w:rPr>
        <w:t>, έτσι ώστε</w:t>
      </w:r>
      <w:r w:rsidRPr="00E84F92">
        <w:rPr>
          <w:rFonts w:ascii="Arial" w:hAnsi="Arial" w:cs="Arial"/>
          <w:szCs w:val="22"/>
        </w:rPr>
        <w:t xml:space="preserve"> να κατευθύνει τον πληθωρισμό στο στόχο </w:t>
      </w:r>
      <w:r w:rsidRPr="00E84F92">
        <w:rPr>
          <w:rFonts w:ascii="Arial" w:hAnsi="Arial" w:cs="Arial"/>
          <w:szCs w:val="22"/>
          <w:lang w:val="el-GR"/>
        </w:rPr>
        <w:t>του 2%</w:t>
      </w:r>
      <w:r w:rsidRPr="00E84F92">
        <w:rPr>
          <w:rFonts w:ascii="Arial" w:hAnsi="Arial" w:cs="Arial"/>
          <w:szCs w:val="22"/>
        </w:rPr>
        <w:t xml:space="preserve"> μεσοπρόθεσμα, καθώς και να δια</w:t>
      </w:r>
      <w:r w:rsidRPr="00E84F92">
        <w:rPr>
          <w:rFonts w:ascii="Arial" w:hAnsi="Arial" w:cs="Arial"/>
          <w:szCs w:val="22"/>
          <w:lang w:val="el-GR"/>
        </w:rPr>
        <w:t xml:space="preserve">φυλάξει </w:t>
      </w:r>
      <w:r w:rsidRPr="00E84F92">
        <w:rPr>
          <w:rFonts w:ascii="Arial" w:hAnsi="Arial" w:cs="Arial"/>
          <w:szCs w:val="22"/>
        </w:rPr>
        <w:t xml:space="preserve">τη σταθερότητα του χρηματοπιστωτικού συστήματος της ζώνης του ευρώ. </w:t>
      </w:r>
    </w:p>
    <w:p w14:paraId="6544D760"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Μεταξύ 2008 </w:t>
      </w:r>
      <w:r w:rsidRPr="00E84F92">
        <w:rPr>
          <w:rFonts w:ascii="Arial" w:hAnsi="Arial" w:cs="Arial"/>
          <w:szCs w:val="22"/>
          <w:lang w:val="el-GR"/>
        </w:rPr>
        <w:t>και</w:t>
      </w:r>
      <w:r w:rsidRPr="00E84F92">
        <w:rPr>
          <w:rFonts w:ascii="Arial" w:hAnsi="Arial" w:cs="Arial"/>
          <w:szCs w:val="22"/>
        </w:rPr>
        <w:t xml:space="preserve"> 20</w:t>
      </w:r>
      <w:r w:rsidRPr="00E84F92">
        <w:rPr>
          <w:rFonts w:ascii="Arial" w:hAnsi="Arial" w:cs="Arial"/>
          <w:szCs w:val="22"/>
          <w:lang w:val="el-GR"/>
        </w:rPr>
        <w:t>19</w:t>
      </w:r>
      <w:r w:rsidRPr="00E84F92">
        <w:rPr>
          <w:rFonts w:ascii="Arial" w:hAnsi="Arial" w:cs="Arial"/>
          <w:szCs w:val="22"/>
        </w:rPr>
        <w:t xml:space="preserve">, το Διοικητικό Συμβούλιο </w:t>
      </w:r>
      <w:r w:rsidRPr="00E84F92">
        <w:rPr>
          <w:rFonts w:ascii="Arial" w:hAnsi="Arial" w:cs="Arial"/>
          <w:szCs w:val="22"/>
          <w:lang w:val="el-GR"/>
        </w:rPr>
        <w:t>προέβη σε δραστικές</w:t>
      </w:r>
      <w:r w:rsidRPr="00E84F92">
        <w:rPr>
          <w:rFonts w:ascii="Arial" w:hAnsi="Arial" w:cs="Arial"/>
          <w:szCs w:val="22"/>
        </w:rPr>
        <w:t xml:space="preserve"> μειώσεις των βασικών επιτοκίων πολιτικής της ΕΚΤ</w:t>
      </w:r>
      <w:r w:rsidRPr="00E84F92">
        <w:rPr>
          <w:rFonts w:ascii="Arial" w:hAnsi="Arial" w:cs="Arial"/>
          <w:szCs w:val="22"/>
          <w:lang w:val="el-GR"/>
        </w:rPr>
        <w:t>,</w:t>
      </w:r>
      <w:r w:rsidRPr="00E84F92">
        <w:rPr>
          <w:rFonts w:ascii="Arial" w:hAnsi="Arial" w:cs="Arial"/>
          <w:szCs w:val="22"/>
          <w:vertAlign w:val="superscript"/>
        </w:rPr>
        <w:footnoteReference w:id="1"/>
      </w:r>
      <w:r w:rsidRPr="00E84F92">
        <w:rPr>
          <w:rFonts w:ascii="Arial" w:hAnsi="Arial" w:cs="Arial"/>
          <w:szCs w:val="22"/>
        </w:rPr>
        <w:t xml:space="preserve"> </w:t>
      </w:r>
      <w:r w:rsidRPr="00E84F92">
        <w:rPr>
          <w:rFonts w:ascii="Arial" w:hAnsi="Arial" w:cs="Arial"/>
          <w:szCs w:val="22"/>
          <w:lang w:val="el-GR"/>
        </w:rPr>
        <w:t xml:space="preserve">διαμορφώνοντας σταδιακά το επιτόκιο των πράξεων </w:t>
      </w:r>
      <w:r w:rsidRPr="00E84F92">
        <w:rPr>
          <w:rFonts w:ascii="Arial" w:hAnsi="Arial" w:cs="Arial"/>
          <w:szCs w:val="22"/>
        </w:rPr>
        <w:t xml:space="preserve">κύριας αναχρηματοδότησης </w:t>
      </w:r>
      <w:r w:rsidRPr="00E84F92">
        <w:rPr>
          <w:rFonts w:ascii="Arial" w:hAnsi="Arial" w:cs="Arial"/>
          <w:szCs w:val="22"/>
          <w:lang w:val="el-GR"/>
        </w:rPr>
        <w:t xml:space="preserve">σε </w:t>
      </w:r>
      <w:r w:rsidRPr="00E84F92">
        <w:rPr>
          <w:rFonts w:ascii="Arial" w:hAnsi="Arial" w:cs="Arial"/>
          <w:szCs w:val="22"/>
        </w:rPr>
        <w:t>μηδενι</w:t>
      </w:r>
      <w:r w:rsidRPr="00E84F92">
        <w:rPr>
          <w:rFonts w:ascii="Arial" w:hAnsi="Arial" w:cs="Arial"/>
          <w:szCs w:val="22"/>
          <w:lang w:val="el-GR"/>
        </w:rPr>
        <w:t>κό</w:t>
      </w:r>
      <w:r w:rsidRPr="00E84F92">
        <w:rPr>
          <w:rFonts w:ascii="Arial" w:hAnsi="Arial" w:cs="Arial"/>
          <w:szCs w:val="22"/>
        </w:rPr>
        <w:t xml:space="preserve"> </w:t>
      </w:r>
      <w:r w:rsidRPr="00E84F92">
        <w:rPr>
          <w:rFonts w:ascii="Arial" w:hAnsi="Arial" w:cs="Arial"/>
          <w:szCs w:val="22"/>
          <w:lang w:val="el-GR"/>
        </w:rPr>
        <w:t>επίπεδο</w:t>
      </w:r>
      <w:r w:rsidRPr="00E84F92">
        <w:rPr>
          <w:rFonts w:ascii="Arial" w:hAnsi="Arial" w:cs="Arial"/>
          <w:szCs w:val="22"/>
        </w:rPr>
        <w:t xml:space="preserve"> [το Μάρτιο του 2016]</w:t>
      </w:r>
      <w:r w:rsidRPr="00E84F92">
        <w:rPr>
          <w:rFonts w:ascii="Arial" w:hAnsi="Arial" w:cs="Arial"/>
          <w:szCs w:val="22"/>
          <w:lang w:val="el-GR"/>
        </w:rPr>
        <w:t xml:space="preserve"> και </w:t>
      </w:r>
      <w:r w:rsidRPr="00E84F92">
        <w:rPr>
          <w:rFonts w:ascii="Arial" w:hAnsi="Arial" w:cs="Arial"/>
          <w:szCs w:val="22"/>
          <w:lang w:val="el-GR"/>
        </w:rPr>
        <w:lastRenderedPageBreak/>
        <w:t xml:space="preserve">καθορίζοντας αρνητικό επιτόκιο </w:t>
      </w:r>
      <w:r w:rsidRPr="00E84F92">
        <w:rPr>
          <w:rFonts w:ascii="Arial" w:hAnsi="Arial" w:cs="Arial"/>
          <w:szCs w:val="22"/>
        </w:rPr>
        <w:t>[τον Ιούνιο του 2014]</w:t>
      </w:r>
      <w:r w:rsidRPr="00E84F92">
        <w:rPr>
          <w:rFonts w:ascii="Arial" w:hAnsi="Arial" w:cs="Arial"/>
          <w:szCs w:val="22"/>
          <w:lang w:val="el-GR"/>
        </w:rPr>
        <w:t xml:space="preserve"> στη διευκόλυνση </w:t>
      </w:r>
      <w:r w:rsidRPr="00E84F92">
        <w:rPr>
          <w:rFonts w:ascii="Arial" w:hAnsi="Arial" w:cs="Arial"/>
          <w:szCs w:val="22"/>
        </w:rPr>
        <w:t>αποδοχής καταθέσεων</w:t>
      </w:r>
      <w:r w:rsidRPr="00E84F92">
        <w:rPr>
          <w:rFonts w:ascii="Arial" w:hAnsi="Arial" w:cs="Arial"/>
          <w:szCs w:val="22"/>
          <w:lang w:val="el-GR"/>
        </w:rPr>
        <w:t xml:space="preserve">, μέσω της οποίας οι </w:t>
      </w:r>
      <w:r w:rsidRPr="00E84F92">
        <w:rPr>
          <w:rFonts w:ascii="Arial" w:hAnsi="Arial" w:cs="Arial"/>
          <w:szCs w:val="22"/>
        </w:rPr>
        <w:t>εμπορικ</w:t>
      </w:r>
      <w:r w:rsidRPr="00E84F92">
        <w:rPr>
          <w:rFonts w:ascii="Arial" w:hAnsi="Arial" w:cs="Arial"/>
          <w:szCs w:val="22"/>
          <w:lang w:val="el-GR"/>
        </w:rPr>
        <w:t xml:space="preserve">ές </w:t>
      </w:r>
      <w:r w:rsidRPr="00E84F92">
        <w:rPr>
          <w:rFonts w:ascii="Arial" w:hAnsi="Arial" w:cs="Arial"/>
          <w:szCs w:val="22"/>
        </w:rPr>
        <w:t>τρ</w:t>
      </w:r>
      <w:r w:rsidRPr="00E84F92">
        <w:rPr>
          <w:rFonts w:ascii="Arial" w:hAnsi="Arial" w:cs="Arial"/>
          <w:szCs w:val="22"/>
          <w:lang w:val="el-GR"/>
        </w:rPr>
        <w:t xml:space="preserve">άπεζες καταθέτουν την πλεονάζουσα ρευστότητά τους </w:t>
      </w:r>
      <w:r w:rsidRPr="00E84F92">
        <w:rPr>
          <w:rFonts w:ascii="Arial" w:hAnsi="Arial" w:cs="Arial"/>
          <w:szCs w:val="22"/>
        </w:rPr>
        <w:t>στην κεντρική τράπεζα</w:t>
      </w:r>
      <w:r w:rsidRPr="00E84F92">
        <w:rPr>
          <w:rFonts w:ascii="Arial" w:hAnsi="Arial" w:cs="Arial"/>
          <w:szCs w:val="22"/>
          <w:lang w:val="el-GR"/>
        </w:rPr>
        <w:t>.</w:t>
      </w:r>
      <w:r w:rsidRPr="00E84F92">
        <w:rPr>
          <w:rFonts w:ascii="Arial" w:hAnsi="Arial" w:cs="Arial"/>
          <w:szCs w:val="22"/>
        </w:rPr>
        <w:t xml:space="preserve"> Η μείωση των επιτοκίων ήταν </w:t>
      </w:r>
      <w:r w:rsidRPr="00E84F92">
        <w:rPr>
          <w:rFonts w:ascii="Arial" w:hAnsi="Arial" w:cs="Arial"/>
          <w:szCs w:val="22"/>
          <w:lang w:val="el-GR"/>
        </w:rPr>
        <w:t xml:space="preserve">αναγκαία προκειμένου να μειωθεί </w:t>
      </w:r>
      <w:r w:rsidRPr="00E84F92">
        <w:rPr>
          <w:rFonts w:ascii="Arial" w:hAnsi="Arial" w:cs="Arial"/>
          <w:szCs w:val="22"/>
        </w:rPr>
        <w:t xml:space="preserve">το κόστος χρηματοδότησης, </w:t>
      </w:r>
      <w:r w:rsidRPr="00E84F92">
        <w:rPr>
          <w:rFonts w:ascii="Arial" w:hAnsi="Arial" w:cs="Arial"/>
          <w:szCs w:val="22"/>
          <w:lang w:val="el-GR"/>
        </w:rPr>
        <w:t xml:space="preserve">να ενθαρρυνθεί η επενδυτική και καταναλωτική δαπάνη, να </w:t>
      </w:r>
      <w:r w:rsidRPr="00E84F92">
        <w:rPr>
          <w:rFonts w:ascii="Arial" w:hAnsi="Arial" w:cs="Arial"/>
          <w:szCs w:val="22"/>
        </w:rPr>
        <w:t>εν</w:t>
      </w:r>
      <w:r w:rsidRPr="00E84F92">
        <w:rPr>
          <w:rFonts w:ascii="Arial" w:hAnsi="Arial" w:cs="Arial"/>
          <w:szCs w:val="22"/>
          <w:lang w:val="el-GR"/>
        </w:rPr>
        <w:t xml:space="preserve">ισχυθεί η </w:t>
      </w:r>
      <w:r w:rsidRPr="00E84F92">
        <w:rPr>
          <w:rFonts w:ascii="Arial" w:hAnsi="Arial" w:cs="Arial"/>
          <w:szCs w:val="22"/>
        </w:rPr>
        <w:t xml:space="preserve">οικονομική ανάπτυξη και </w:t>
      </w:r>
      <w:r w:rsidRPr="00E84F92">
        <w:rPr>
          <w:rFonts w:ascii="Arial" w:hAnsi="Arial" w:cs="Arial"/>
          <w:szCs w:val="22"/>
          <w:lang w:val="el-GR"/>
        </w:rPr>
        <w:t xml:space="preserve">να συγκρατηθούν οι </w:t>
      </w:r>
      <w:r w:rsidRPr="00E84F92">
        <w:rPr>
          <w:rFonts w:ascii="Arial" w:hAnsi="Arial" w:cs="Arial"/>
          <w:szCs w:val="22"/>
        </w:rPr>
        <w:t>προς τα κάτω αποκλίσε</w:t>
      </w:r>
      <w:r w:rsidRPr="00E84F92">
        <w:rPr>
          <w:rFonts w:ascii="Arial" w:hAnsi="Arial" w:cs="Arial"/>
          <w:szCs w:val="22"/>
          <w:lang w:val="el-GR"/>
        </w:rPr>
        <w:t>ις</w:t>
      </w:r>
      <w:r w:rsidRPr="00E84F92">
        <w:rPr>
          <w:rFonts w:ascii="Arial" w:hAnsi="Arial" w:cs="Arial"/>
          <w:szCs w:val="22"/>
        </w:rPr>
        <w:t xml:space="preserve"> του πληθωρισμού από το στόχο της ΕΚΤ. </w:t>
      </w:r>
      <w:r w:rsidRPr="00E84F92">
        <w:rPr>
          <w:rFonts w:ascii="Arial" w:hAnsi="Arial" w:cs="Arial"/>
          <w:szCs w:val="22"/>
          <w:lang w:val="el-GR"/>
        </w:rPr>
        <w:t xml:space="preserve">Η </w:t>
      </w:r>
      <w:r w:rsidRPr="00E84F92">
        <w:rPr>
          <w:rFonts w:ascii="Arial" w:hAnsi="Arial" w:cs="Arial"/>
          <w:szCs w:val="22"/>
        </w:rPr>
        <w:t>μείωση του επιτοκίου της διευκόλυνσης αποδοχής καταθέσεων σε αρνητικ</w:t>
      </w:r>
      <w:r w:rsidRPr="00E84F92">
        <w:rPr>
          <w:rFonts w:ascii="Arial" w:hAnsi="Arial" w:cs="Arial"/>
          <w:szCs w:val="22"/>
          <w:lang w:val="el-GR"/>
        </w:rPr>
        <w:t xml:space="preserve">ά επίπεδα είχε καθοριστική σημασία, καθώς ενθάρρυνε τις τράπεζες να αυξήσουν την προσφορά πιστώσεων προς την </w:t>
      </w:r>
      <w:r w:rsidRPr="00E84F92">
        <w:rPr>
          <w:rFonts w:ascii="Arial" w:hAnsi="Arial" w:cs="Arial"/>
          <w:szCs w:val="22"/>
        </w:rPr>
        <w:t xml:space="preserve">οικονομία. Ταυτόχρονα, </w:t>
      </w:r>
      <w:r w:rsidRPr="00E84F92">
        <w:rPr>
          <w:rFonts w:ascii="Arial" w:hAnsi="Arial" w:cs="Arial"/>
          <w:szCs w:val="22"/>
          <w:lang w:val="el-GR"/>
        </w:rPr>
        <w:t xml:space="preserve">το αυξημένο κόστος για τις τράπεζες από την τήρηση της πλεονάζουσας ρευστότητάς τους </w:t>
      </w:r>
      <w:r w:rsidRPr="00E84F92">
        <w:rPr>
          <w:rFonts w:ascii="Arial" w:hAnsi="Arial" w:cs="Arial"/>
          <w:szCs w:val="22"/>
        </w:rPr>
        <w:t>στ</w:t>
      </w:r>
      <w:r w:rsidRPr="00E84F92">
        <w:rPr>
          <w:rFonts w:ascii="Arial" w:hAnsi="Arial" w:cs="Arial"/>
          <w:szCs w:val="22"/>
          <w:lang w:val="el-GR"/>
        </w:rPr>
        <w:t xml:space="preserve">ην </w:t>
      </w:r>
      <w:r w:rsidRPr="00E84F92">
        <w:rPr>
          <w:rFonts w:ascii="Arial" w:hAnsi="Arial" w:cs="Arial"/>
          <w:szCs w:val="22"/>
        </w:rPr>
        <w:t>κεντρικ</w:t>
      </w:r>
      <w:r w:rsidRPr="00E84F92">
        <w:rPr>
          <w:rFonts w:ascii="Arial" w:hAnsi="Arial" w:cs="Arial"/>
          <w:szCs w:val="22"/>
          <w:lang w:val="el-GR"/>
        </w:rPr>
        <w:t>ή</w:t>
      </w:r>
      <w:r w:rsidRPr="00E84F92">
        <w:rPr>
          <w:rFonts w:ascii="Arial" w:hAnsi="Arial" w:cs="Arial"/>
          <w:szCs w:val="22"/>
        </w:rPr>
        <w:t xml:space="preserve"> τράπεζ</w:t>
      </w:r>
      <w:r w:rsidRPr="00E84F92">
        <w:rPr>
          <w:rFonts w:ascii="Arial" w:hAnsi="Arial" w:cs="Arial"/>
          <w:szCs w:val="22"/>
          <w:lang w:val="el-GR"/>
        </w:rPr>
        <w:t>α</w:t>
      </w:r>
      <w:r w:rsidRPr="00E84F92">
        <w:rPr>
          <w:rFonts w:ascii="Arial" w:hAnsi="Arial" w:cs="Arial"/>
          <w:szCs w:val="22"/>
        </w:rPr>
        <w:t xml:space="preserve"> μετριάστηκε σε κάποιο βαθμό με την υιοθέτηση συστήματος δύο </w:t>
      </w:r>
      <w:r w:rsidRPr="00E84F92">
        <w:rPr>
          <w:rFonts w:ascii="Arial" w:hAnsi="Arial" w:cs="Arial"/>
          <w:szCs w:val="22"/>
          <w:lang w:val="el-GR"/>
        </w:rPr>
        <w:t>βαθμίδων</w:t>
      </w:r>
      <w:r w:rsidRPr="00E84F92">
        <w:rPr>
          <w:rFonts w:ascii="Arial" w:hAnsi="Arial" w:cs="Arial"/>
          <w:szCs w:val="22"/>
        </w:rPr>
        <w:t xml:space="preserve"> [το Σεπτέμβριο του 2019], </w:t>
      </w:r>
      <w:r w:rsidRPr="00E84F92">
        <w:rPr>
          <w:rFonts w:ascii="Arial" w:hAnsi="Arial" w:cs="Arial"/>
          <w:szCs w:val="22"/>
          <w:lang w:val="el-GR"/>
        </w:rPr>
        <w:t xml:space="preserve">σύμφωνα με το </w:t>
      </w:r>
      <w:r w:rsidRPr="00E84F92">
        <w:rPr>
          <w:rFonts w:ascii="Arial" w:hAnsi="Arial" w:cs="Arial"/>
          <w:szCs w:val="22"/>
        </w:rPr>
        <w:t>οποίο</w:t>
      </w:r>
      <w:r w:rsidRPr="00E84F92">
        <w:rPr>
          <w:rFonts w:ascii="Arial" w:hAnsi="Arial" w:cs="Arial"/>
          <w:szCs w:val="22"/>
          <w:lang w:val="el-GR"/>
        </w:rPr>
        <w:t xml:space="preserve"> ένα</w:t>
      </w:r>
      <w:r w:rsidRPr="00E84F92">
        <w:rPr>
          <w:rFonts w:ascii="Arial" w:hAnsi="Arial" w:cs="Arial"/>
          <w:szCs w:val="22"/>
        </w:rPr>
        <w:t xml:space="preserve"> μέρος </w:t>
      </w:r>
      <w:r w:rsidRPr="00E84F92">
        <w:rPr>
          <w:rFonts w:ascii="Arial" w:hAnsi="Arial" w:cs="Arial"/>
          <w:szCs w:val="22"/>
          <w:lang w:val="el-GR"/>
        </w:rPr>
        <w:t xml:space="preserve">από τα πλεονάζοντα αποθεματικά </w:t>
      </w:r>
      <w:r w:rsidRPr="00E84F92">
        <w:rPr>
          <w:rFonts w:ascii="Arial" w:hAnsi="Arial" w:cs="Arial"/>
          <w:szCs w:val="22"/>
        </w:rPr>
        <w:t xml:space="preserve">των τραπεζών </w:t>
      </w:r>
      <w:r w:rsidRPr="00E84F92">
        <w:rPr>
          <w:rFonts w:ascii="Arial" w:hAnsi="Arial" w:cs="Arial"/>
          <w:szCs w:val="22"/>
          <w:lang w:val="el-GR"/>
        </w:rPr>
        <w:t>εξαιρέθηκε από την εφαρμογή αρνητικού επιτοκίου</w:t>
      </w:r>
      <w:r w:rsidRPr="00E84F92">
        <w:rPr>
          <w:rFonts w:ascii="Arial" w:hAnsi="Arial" w:cs="Arial"/>
          <w:szCs w:val="22"/>
        </w:rPr>
        <w:t>.</w:t>
      </w:r>
    </w:p>
    <w:p w14:paraId="1D077A55"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Ωστόσο, καθ</w:t>
      </w:r>
      <w:r w:rsidRPr="00E84F92">
        <w:rPr>
          <w:rFonts w:ascii="Arial" w:hAnsi="Arial" w:cs="Arial"/>
          <w:szCs w:val="22"/>
          <w:lang w:val="el-GR"/>
        </w:rPr>
        <w:t xml:space="preserve">ώς </w:t>
      </w:r>
      <w:r w:rsidRPr="00E84F92">
        <w:rPr>
          <w:rFonts w:ascii="Arial" w:hAnsi="Arial" w:cs="Arial"/>
          <w:szCs w:val="22"/>
        </w:rPr>
        <w:t xml:space="preserve">τα επιτόκια </w:t>
      </w:r>
      <w:r w:rsidRPr="00E84F92">
        <w:rPr>
          <w:rFonts w:ascii="Arial" w:hAnsi="Arial" w:cs="Arial"/>
          <w:szCs w:val="22"/>
          <w:lang w:val="el-GR"/>
        </w:rPr>
        <w:t>πολιτικής βρίσκονταν κοντά σ</w:t>
      </w:r>
      <w:r w:rsidRPr="00E84F92">
        <w:rPr>
          <w:rFonts w:ascii="Arial" w:hAnsi="Arial" w:cs="Arial"/>
          <w:szCs w:val="22"/>
        </w:rPr>
        <w:t>το μηδενικό κατώτατο όριο</w:t>
      </w:r>
      <w:r w:rsidRPr="00E84F92">
        <w:rPr>
          <w:rFonts w:ascii="Arial" w:hAnsi="Arial" w:cs="Arial"/>
          <w:szCs w:val="22"/>
          <w:lang w:val="el-GR"/>
        </w:rPr>
        <w:t xml:space="preserve"> (</w:t>
      </w:r>
      <w:r w:rsidRPr="00E84F92">
        <w:rPr>
          <w:rFonts w:ascii="Arial" w:hAnsi="Arial" w:cs="Arial"/>
          <w:szCs w:val="22"/>
          <w:lang w:val="en-US"/>
        </w:rPr>
        <w:t>zero</w:t>
      </w:r>
      <w:r w:rsidRPr="00E84F92">
        <w:rPr>
          <w:rFonts w:ascii="Arial" w:hAnsi="Arial" w:cs="Arial"/>
          <w:szCs w:val="22"/>
          <w:lang w:val="el-GR"/>
        </w:rPr>
        <w:t xml:space="preserve"> </w:t>
      </w:r>
      <w:r w:rsidRPr="00E84F92">
        <w:rPr>
          <w:rFonts w:ascii="Arial" w:hAnsi="Arial" w:cs="Arial"/>
          <w:szCs w:val="22"/>
          <w:lang w:val="en-US"/>
        </w:rPr>
        <w:t>lower</w:t>
      </w:r>
      <w:r w:rsidRPr="00E84F92">
        <w:rPr>
          <w:rFonts w:ascii="Arial" w:hAnsi="Arial" w:cs="Arial"/>
          <w:szCs w:val="22"/>
          <w:lang w:val="el-GR"/>
        </w:rPr>
        <w:t xml:space="preserve"> </w:t>
      </w:r>
      <w:r w:rsidRPr="00E84F92">
        <w:rPr>
          <w:rFonts w:ascii="Arial" w:hAnsi="Arial" w:cs="Arial"/>
          <w:szCs w:val="22"/>
          <w:lang w:val="en-US"/>
        </w:rPr>
        <w:t>bound</w:t>
      </w:r>
      <w:r w:rsidRPr="00E84F92">
        <w:rPr>
          <w:rFonts w:ascii="Arial" w:hAnsi="Arial" w:cs="Arial"/>
          <w:szCs w:val="22"/>
          <w:lang w:val="el-GR"/>
        </w:rPr>
        <w:t>)</w:t>
      </w:r>
      <w:r w:rsidRPr="00E84F92">
        <w:rPr>
          <w:rFonts w:ascii="Arial" w:hAnsi="Arial" w:cs="Arial"/>
          <w:szCs w:val="22"/>
        </w:rPr>
        <w:t>, είχαν ουσιαστικά εξαντληθεί τα περιθώρια περαιτέρω μείωσ</w:t>
      </w:r>
      <w:r w:rsidRPr="00E84F92">
        <w:rPr>
          <w:rFonts w:ascii="Arial" w:hAnsi="Arial" w:cs="Arial"/>
          <w:szCs w:val="22"/>
          <w:lang w:val="el-GR"/>
        </w:rPr>
        <w:t>ής</w:t>
      </w:r>
      <w:r w:rsidRPr="00E84F92">
        <w:rPr>
          <w:rFonts w:ascii="Arial" w:hAnsi="Arial" w:cs="Arial"/>
          <w:szCs w:val="22"/>
        </w:rPr>
        <w:t xml:space="preserve"> </w:t>
      </w:r>
      <w:r w:rsidRPr="00E84F92">
        <w:rPr>
          <w:rFonts w:ascii="Arial" w:hAnsi="Arial" w:cs="Arial"/>
          <w:szCs w:val="22"/>
          <w:lang w:val="el-GR"/>
        </w:rPr>
        <w:t>τους</w:t>
      </w:r>
      <w:r w:rsidRPr="00E84F92">
        <w:rPr>
          <w:rFonts w:ascii="Arial" w:hAnsi="Arial" w:cs="Arial"/>
          <w:szCs w:val="22"/>
        </w:rPr>
        <w:t xml:space="preserve"> για την αντιμετώπιση του χαμηλού πληθωρισμού. </w:t>
      </w:r>
      <w:r w:rsidRPr="00E84F92">
        <w:rPr>
          <w:rFonts w:ascii="Arial" w:hAnsi="Arial" w:cs="Arial"/>
          <w:szCs w:val="22"/>
          <w:lang w:val="el-GR"/>
        </w:rPr>
        <w:t xml:space="preserve">Για να αποτραπεί ο κίνδυνος μιας δίνης αποπληθωρισμού, </w:t>
      </w:r>
      <w:r w:rsidRPr="00E84F92">
        <w:rPr>
          <w:rFonts w:ascii="Arial" w:hAnsi="Arial" w:cs="Arial"/>
          <w:szCs w:val="22"/>
        </w:rPr>
        <w:t xml:space="preserve">κρίθηκε αναγκαία η λήψη πρόσθετων τολμηρών μέτρων κατά την περίοδο 2010-2021, προκειμένου να επηρεαστούν οι χρηματοπιστωτικές συνθήκες στη ζώνη του ευρώ. </w:t>
      </w:r>
    </w:p>
    <w:p w14:paraId="42ECDD67"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Τα μέτρα αυτά </w:t>
      </w:r>
      <w:r w:rsidRPr="00E84F92">
        <w:rPr>
          <w:rFonts w:ascii="Arial" w:hAnsi="Arial" w:cs="Arial"/>
          <w:szCs w:val="22"/>
          <w:lang w:val="el-GR"/>
        </w:rPr>
        <w:t xml:space="preserve">διακρίνονται </w:t>
      </w:r>
      <w:r w:rsidRPr="00E84F92">
        <w:rPr>
          <w:rFonts w:ascii="Arial" w:hAnsi="Arial" w:cs="Arial"/>
          <w:szCs w:val="22"/>
        </w:rPr>
        <w:t xml:space="preserve">σε δύο </w:t>
      </w:r>
      <w:r w:rsidRPr="00E84F92">
        <w:rPr>
          <w:rFonts w:ascii="Arial" w:hAnsi="Arial" w:cs="Arial"/>
          <w:szCs w:val="22"/>
          <w:lang w:val="el-GR"/>
        </w:rPr>
        <w:t>βασικές</w:t>
      </w:r>
      <w:r w:rsidRPr="00E84F92">
        <w:rPr>
          <w:rFonts w:ascii="Arial" w:hAnsi="Arial" w:cs="Arial"/>
          <w:szCs w:val="22"/>
        </w:rPr>
        <w:t xml:space="preserve"> κατηγορίες: </w:t>
      </w:r>
    </w:p>
    <w:p w14:paraId="13F6A00C"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Η πρώτη </w:t>
      </w:r>
      <w:r w:rsidRPr="00E84F92">
        <w:rPr>
          <w:rFonts w:ascii="Arial" w:hAnsi="Arial" w:cs="Arial"/>
          <w:szCs w:val="22"/>
          <w:lang w:val="el-GR"/>
        </w:rPr>
        <w:t xml:space="preserve">κατηγορία </w:t>
      </w:r>
      <w:r w:rsidRPr="00E84F92">
        <w:rPr>
          <w:rFonts w:ascii="Arial" w:hAnsi="Arial" w:cs="Arial"/>
          <w:szCs w:val="22"/>
        </w:rPr>
        <w:t xml:space="preserve">περιλάμβανε τη </w:t>
      </w:r>
      <w:r w:rsidRPr="00E84F92">
        <w:rPr>
          <w:rFonts w:ascii="Arial" w:hAnsi="Arial" w:cs="Arial"/>
          <w:szCs w:val="22"/>
          <w:lang w:val="el-GR"/>
        </w:rPr>
        <w:t>χορήγηση</w:t>
      </w:r>
      <w:r w:rsidRPr="00E84F92">
        <w:rPr>
          <w:rFonts w:ascii="Arial" w:hAnsi="Arial" w:cs="Arial"/>
          <w:szCs w:val="22"/>
        </w:rPr>
        <w:t xml:space="preserve"> άφθονης ρευστότητας</w:t>
      </w:r>
      <w:r w:rsidRPr="00E84F92">
        <w:rPr>
          <w:rStyle w:val="FootnoteReference"/>
          <w:rFonts w:ascii="Arial" w:hAnsi="Arial" w:cs="Arial"/>
          <w:szCs w:val="22"/>
        </w:rPr>
        <w:footnoteReference w:id="2"/>
      </w:r>
      <w:r w:rsidRPr="00E84F92">
        <w:rPr>
          <w:rFonts w:ascii="Arial" w:hAnsi="Arial" w:cs="Arial"/>
          <w:szCs w:val="22"/>
        </w:rPr>
        <w:t xml:space="preserve"> στις τράπεζες (με </w:t>
      </w:r>
      <w:r w:rsidRPr="00E84F92">
        <w:rPr>
          <w:rFonts w:ascii="Arial" w:hAnsi="Arial" w:cs="Arial"/>
          <w:szCs w:val="22"/>
          <w:lang w:val="el-GR"/>
        </w:rPr>
        <w:t>μεγαλύτερο διάστημα αποπληρωμής</w:t>
      </w:r>
      <w:r w:rsidRPr="00E84F92">
        <w:rPr>
          <w:rFonts w:ascii="Arial" w:hAnsi="Arial" w:cs="Arial"/>
          <w:szCs w:val="22"/>
        </w:rPr>
        <w:t xml:space="preserve"> </w:t>
      </w:r>
      <w:r w:rsidRPr="00E84F92">
        <w:rPr>
          <w:rFonts w:ascii="Arial" w:hAnsi="Arial" w:cs="Arial"/>
          <w:szCs w:val="22"/>
          <w:lang w:val="el-GR"/>
        </w:rPr>
        <w:t>και με εγγύηση ένα διευρυμένο</w:t>
      </w:r>
      <w:r w:rsidRPr="00E84F92">
        <w:rPr>
          <w:rFonts w:ascii="Arial" w:hAnsi="Arial" w:cs="Arial"/>
          <w:szCs w:val="22"/>
        </w:rPr>
        <w:t xml:space="preserve"> σ</w:t>
      </w:r>
      <w:r w:rsidRPr="00E84F92">
        <w:rPr>
          <w:rFonts w:ascii="Arial" w:hAnsi="Arial" w:cs="Arial"/>
          <w:szCs w:val="22"/>
          <w:lang w:val="el-GR"/>
        </w:rPr>
        <w:t>ύνολο</w:t>
      </w:r>
      <w:r w:rsidRPr="00E84F92">
        <w:rPr>
          <w:rFonts w:ascii="Arial" w:hAnsi="Arial" w:cs="Arial"/>
          <w:szCs w:val="22"/>
        </w:rPr>
        <w:t xml:space="preserve"> </w:t>
      </w:r>
      <w:r w:rsidRPr="00E84F92">
        <w:rPr>
          <w:rFonts w:ascii="Arial" w:hAnsi="Arial" w:cs="Arial"/>
          <w:szCs w:val="22"/>
          <w:lang w:val="el-GR"/>
        </w:rPr>
        <w:t xml:space="preserve">αποδεκτών </w:t>
      </w:r>
      <w:r w:rsidRPr="00E84F92">
        <w:rPr>
          <w:rFonts w:ascii="Arial" w:hAnsi="Arial" w:cs="Arial"/>
          <w:szCs w:val="22"/>
        </w:rPr>
        <w:t xml:space="preserve">εξασφαλίσεων). Οι στοχευμένες πράξεις </w:t>
      </w:r>
      <w:r w:rsidRPr="00E84F92">
        <w:rPr>
          <w:rFonts w:ascii="Arial" w:hAnsi="Arial" w:cs="Arial"/>
          <w:szCs w:val="22"/>
          <w:lang w:val="el-GR"/>
        </w:rPr>
        <w:t xml:space="preserve">πιο μακροπρόθεσμης </w:t>
      </w:r>
      <w:r w:rsidRPr="00E84F92">
        <w:rPr>
          <w:rFonts w:ascii="Arial" w:hAnsi="Arial" w:cs="Arial"/>
          <w:szCs w:val="22"/>
        </w:rPr>
        <w:t>αναχρηματοδότησης</w:t>
      </w:r>
      <w:r w:rsidRPr="00E84F92">
        <w:rPr>
          <w:rFonts w:ascii="Arial" w:hAnsi="Arial" w:cs="Arial"/>
          <w:szCs w:val="22"/>
          <w:lang w:val="el-GR"/>
        </w:rPr>
        <w:t xml:space="preserve"> </w:t>
      </w:r>
      <w:r w:rsidRPr="00E84F92">
        <w:rPr>
          <w:rFonts w:ascii="Arial" w:hAnsi="Arial" w:cs="Arial"/>
          <w:szCs w:val="22"/>
        </w:rPr>
        <w:t>(</w:t>
      </w:r>
      <w:r w:rsidRPr="00E84F92">
        <w:rPr>
          <w:rFonts w:ascii="Arial" w:hAnsi="Arial" w:cs="Arial"/>
          <w:szCs w:val="22"/>
          <w:lang w:val="en-US"/>
        </w:rPr>
        <w:t>TLTRO</w:t>
      </w:r>
      <w:r w:rsidRPr="00E84F92">
        <w:rPr>
          <w:rFonts w:ascii="Arial" w:hAnsi="Arial" w:cs="Arial"/>
          <w:szCs w:val="22"/>
        </w:rPr>
        <w:t>)</w:t>
      </w:r>
      <w:r w:rsidRPr="00E84F92">
        <w:rPr>
          <w:rFonts w:ascii="Arial" w:hAnsi="Arial" w:cs="Arial"/>
          <w:szCs w:val="22"/>
          <w:vertAlign w:val="superscript"/>
        </w:rPr>
        <w:footnoteReference w:id="3"/>
      </w:r>
      <w:r w:rsidRPr="00E84F92">
        <w:rPr>
          <w:rFonts w:ascii="Arial" w:hAnsi="Arial" w:cs="Arial"/>
          <w:szCs w:val="22"/>
        </w:rPr>
        <w:t xml:space="preserve"> σχεδιάστηκαν ειδικά για </w:t>
      </w:r>
      <w:r w:rsidRPr="00E84F92">
        <w:rPr>
          <w:rFonts w:ascii="Arial" w:hAnsi="Arial" w:cs="Arial"/>
          <w:szCs w:val="22"/>
          <w:lang w:val="el-GR"/>
        </w:rPr>
        <w:t>να στηρίξουν τον τραπεζικό δανεισμό προς τις ε</w:t>
      </w:r>
      <w:r w:rsidRPr="00E84F92">
        <w:rPr>
          <w:rFonts w:ascii="Arial" w:hAnsi="Arial" w:cs="Arial"/>
          <w:szCs w:val="22"/>
        </w:rPr>
        <w:t xml:space="preserve">πιχειρήσεις και </w:t>
      </w:r>
      <w:r w:rsidRPr="00E84F92">
        <w:rPr>
          <w:rFonts w:ascii="Arial" w:hAnsi="Arial" w:cs="Arial"/>
          <w:szCs w:val="22"/>
          <w:lang w:val="el-GR"/>
        </w:rPr>
        <w:t>τα νοικοκυριά</w:t>
      </w:r>
      <w:r w:rsidRPr="00E84F92">
        <w:rPr>
          <w:rFonts w:ascii="Arial" w:hAnsi="Arial" w:cs="Arial"/>
          <w:szCs w:val="22"/>
        </w:rPr>
        <w:t xml:space="preserve">. Οι πράξεις αυτές στήριξαν τη λειτουργία των χρηματοπιστωτικών αγορών, </w:t>
      </w:r>
      <w:r w:rsidRPr="00E84F92">
        <w:rPr>
          <w:rFonts w:ascii="Arial" w:hAnsi="Arial" w:cs="Arial"/>
          <w:szCs w:val="22"/>
          <w:lang w:val="el-GR"/>
        </w:rPr>
        <w:t xml:space="preserve">υπό συνθήκες </w:t>
      </w:r>
      <w:r w:rsidRPr="00E84F92">
        <w:rPr>
          <w:rFonts w:ascii="Arial" w:hAnsi="Arial" w:cs="Arial"/>
          <w:szCs w:val="22"/>
        </w:rPr>
        <w:t>αυξημένου πιστωτικού κινδύνου αντισυμβαλλομένου και αυξημένου κατακερματισμού</w:t>
      </w:r>
      <w:r w:rsidRPr="00E84F92">
        <w:rPr>
          <w:rFonts w:ascii="Arial" w:hAnsi="Arial" w:cs="Arial"/>
          <w:szCs w:val="22"/>
          <w:lang w:val="el-GR"/>
        </w:rPr>
        <w:t xml:space="preserve"> των αγορών</w:t>
      </w:r>
      <w:r w:rsidRPr="00E84F92">
        <w:rPr>
          <w:rFonts w:ascii="Arial" w:hAnsi="Arial" w:cs="Arial"/>
          <w:szCs w:val="22"/>
        </w:rPr>
        <w:t>.</w:t>
      </w:r>
    </w:p>
    <w:p w14:paraId="7766A7D9" w14:textId="77777777" w:rsidR="00E84F92" w:rsidRPr="00E84F92" w:rsidRDefault="00E84F92" w:rsidP="00E84F92">
      <w:pPr>
        <w:pStyle w:val="P68B1DB1-BodyTextIndent35"/>
        <w:numPr>
          <w:ilvl w:val="0"/>
          <w:numId w:val="6"/>
        </w:numPr>
        <w:spacing w:before="120" w:line="360" w:lineRule="auto"/>
        <w:jc w:val="both"/>
        <w:rPr>
          <w:rFonts w:ascii="Arial"/>
          <w:szCs w:val="22"/>
        </w:rPr>
      </w:pPr>
      <w:r w:rsidRPr="00E84F92">
        <w:rPr>
          <w:rFonts w:ascii="Arial"/>
          <w:szCs w:val="22"/>
        </w:rPr>
        <w:t xml:space="preserve">Η δεύτερη </w:t>
      </w:r>
      <w:r w:rsidRPr="00E84F92">
        <w:rPr>
          <w:rFonts w:ascii="Arial"/>
          <w:szCs w:val="22"/>
          <w:lang w:val="el-GR"/>
        </w:rPr>
        <w:t>κατηγορία μέτρων</w:t>
      </w:r>
      <w:r w:rsidRPr="00E84F92">
        <w:rPr>
          <w:rFonts w:ascii="Arial"/>
          <w:szCs w:val="22"/>
        </w:rPr>
        <w:t xml:space="preserve"> περιλάμβανε μεγάλης κλίμακας αγορές</w:t>
      </w:r>
      <w:r w:rsidRPr="00E84F92">
        <w:rPr>
          <w:rFonts w:ascii="Arial"/>
          <w:szCs w:val="22"/>
          <w:vertAlign w:val="superscript"/>
        </w:rPr>
        <w:footnoteReference w:id="4"/>
      </w:r>
      <w:r w:rsidRPr="00E84F92">
        <w:rPr>
          <w:rFonts w:ascii="Arial"/>
          <w:szCs w:val="22"/>
        </w:rPr>
        <w:t xml:space="preserve"> </w:t>
      </w:r>
      <w:r w:rsidRPr="00E84F92">
        <w:rPr>
          <w:rFonts w:ascii="Arial"/>
          <w:szCs w:val="22"/>
          <w:lang w:val="el-GR"/>
        </w:rPr>
        <w:t xml:space="preserve">τίτλων του </w:t>
      </w:r>
      <w:r w:rsidRPr="00E84F92">
        <w:rPr>
          <w:rFonts w:ascii="Arial"/>
          <w:szCs w:val="22"/>
        </w:rPr>
        <w:t>δημόσιο</w:t>
      </w:r>
      <w:r w:rsidRPr="00E84F92">
        <w:rPr>
          <w:rFonts w:ascii="Arial"/>
          <w:szCs w:val="22"/>
          <w:lang w:val="el-GR"/>
        </w:rPr>
        <w:t>υ</w:t>
      </w:r>
      <w:r w:rsidRPr="00E84F92">
        <w:rPr>
          <w:rFonts w:ascii="Arial"/>
          <w:szCs w:val="22"/>
        </w:rPr>
        <w:t xml:space="preserve"> και το</w:t>
      </w:r>
      <w:r w:rsidRPr="00E84F92">
        <w:rPr>
          <w:rFonts w:ascii="Arial"/>
          <w:szCs w:val="22"/>
          <w:lang w:val="el-GR"/>
        </w:rPr>
        <w:t>υ</w:t>
      </w:r>
      <w:r w:rsidRPr="00E84F92">
        <w:rPr>
          <w:rFonts w:ascii="Arial"/>
          <w:szCs w:val="22"/>
        </w:rPr>
        <w:t xml:space="preserve"> ιδιωτικ</w:t>
      </w:r>
      <w:r w:rsidRPr="00E84F92">
        <w:rPr>
          <w:rFonts w:ascii="Arial"/>
          <w:szCs w:val="22"/>
          <w:lang w:val="el-GR"/>
        </w:rPr>
        <w:t>ού τ</w:t>
      </w:r>
      <w:r w:rsidRPr="00E84F92">
        <w:rPr>
          <w:rFonts w:ascii="Arial"/>
          <w:szCs w:val="22"/>
        </w:rPr>
        <w:t>ομέα στη ζώνη του ευρώ.</w:t>
      </w:r>
    </w:p>
    <w:p w14:paraId="38423894" w14:textId="77777777" w:rsidR="00E84F92" w:rsidRPr="00E84F92" w:rsidRDefault="00E84F92" w:rsidP="00E84F92">
      <w:pPr>
        <w:pStyle w:val="P68B1DB1-BodyTextIndent35"/>
        <w:numPr>
          <w:ilvl w:val="0"/>
          <w:numId w:val="6"/>
        </w:numPr>
        <w:spacing w:before="120" w:line="360" w:lineRule="auto"/>
        <w:jc w:val="both"/>
        <w:rPr>
          <w:rFonts w:ascii="Arial"/>
          <w:szCs w:val="22"/>
        </w:rPr>
      </w:pPr>
      <w:r w:rsidRPr="00E84F92">
        <w:rPr>
          <w:rFonts w:ascii="Arial"/>
          <w:szCs w:val="22"/>
        </w:rPr>
        <w:lastRenderedPageBreak/>
        <w:t xml:space="preserve">Από τα τέλη του 2014, η ΕΚΤ ξεκίνησε προγράμματα ποσοτικής </w:t>
      </w:r>
      <w:r w:rsidRPr="00E84F92">
        <w:rPr>
          <w:rFonts w:ascii="Arial"/>
          <w:szCs w:val="22"/>
          <w:lang w:val="el-GR"/>
        </w:rPr>
        <w:t>χαλάρωσης</w:t>
      </w:r>
      <w:r w:rsidRPr="00E84F92">
        <w:rPr>
          <w:rFonts w:ascii="Arial"/>
          <w:szCs w:val="22"/>
        </w:rPr>
        <w:t xml:space="preserve"> (QE) [συγκεκριμένα το APP</w:t>
      </w:r>
      <w:r w:rsidRPr="00E84F92">
        <w:rPr>
          <w:rFonts w:ascii="Arial"/>
          <w:szCs w:val="22"/>
          <w:vertAlign w:val="superscript"/>
        </w:rPr>
        <w:footnoteReference w:id="5"/>
      </w:r>
      <w:r w:rsidRPr="00E84F92">
        <w:rPr>
          <w:rFonts w:ascii="Arial"/>
          <w:szCs w:val="22"/>
        </w:rPr>
        <w:t xml:space="preserve"> και αργότερα το PEPP</w:t>
      </w:r>
      <w:r w:rsidRPr="00E84F92">
        <w:rPr>
          <w:rFonts w:ascii="Arial"/>
          <w:szCs w:val="22"/>
          <w:vertAlign w:val="superscript"/>
        </w:rPr>
        <w:footnoteReference w:id="6"/>
      </w:r>
      <w:r w:rsidRPr="00E84F92">
        <w:rPr>
          <w:rFonts w:ascii="Arial"/>
          <w:szCs w:val="22"/>
        </w:rPr>
        <w:t>].</w:t>
      </w:r>
      <w:r w:rsidRPr="00E84F92">
        <w:rPr>
          <w:rFonts w:ascii="Arial"/>
          <w:szCs w:val="22"/>
          <w:lang w:val="el-GR"/>
        </w:rPr>
        <w:t xml:space="preserve"> Οι αγορές </w:t>
      </w:r>
      <w:r w:rsidRPr="00E84F92">
        <w:rPr>
          <w:rFonts w:ascii="Arial"/>
          <w:szCs w:val="22"/>
        </w:rPr>
        <w:t>τίτλων μείωσαν τα επιτόκια μηδενικού κινδύνου, συμπ</w:t>
      </w:r>
      <w:r w:rsidRPr="00E84F92">
        <w:rPr>
          <w:rFonts w:ascii="Arial"/>
          <w:szCs w:val="22"/>
          <w:lang w:val="el-GR"/>
        </w:rPr>
        <w:t>ίεσαν τα α</w:t>
      </w:r>
      <w:r w:rsidRPr="00E84F92">
        <w:rPr>
          <w:rFonts w:ascii="Arial"/>
          <w:szCs w:val="22"/>
        </w:rPr>
        <w:t xml:space="preserve">σφάλιστρα κινδύνου </w:t>
      </w:r>
      <w:r w:rsidRPr="00E84F92">
        <w:rPr>
          <w:rFonts w:ascii="Arial"/>
          <w:szCs w:val="22"/>
          <w:lang w:val="el-GR"/>
        </w:rPr>
        <w:t xml:space="preserve">που ενσωματώνονται στις τιμές των </w:t>
      </w:r>
      <w:r w:rsidRPr="00E84F92">
        <w:rPr>
          <w:rFonts w:ascii="Arial"/>
          <w:szCs w:val="22"/>
        </w:rPr>
        <w:t>χρηματοοικονομικ</w:t>
      </w:r>
      <w:r w:rsidRPr="00E84F92">
        <w:rPr>
          <w:rFonts w:ascii="Arial"/>
          <w:szCs w:val="22"/>
          <w:lang w:val="el-GR"/>
        </w:rPr>
        <w:t>ών</w:t>
      </w:r>
      <w:r w:rsidRPr="00E84F92">
        <w:rPr>
          <w:rFonts w:ascii="Arial"/>
          <w:szCs w:val="22"/>
        </w:rPr>
        <w:t xml:space="preserve"> περιουσιακ</w:t>
      </w:r>
      <w:r w:rsidRPr="00E84F92">
        <w:rPr>
          <w:rFonts w:ascii="Arial"/>
          <w:szCs w:val="22"/>
          <w:lang w:val="el-GR"/>
        </w:rPr>
        <w:t>ών</w:t>
      </w:r>
      <w:r w:rsidRPr="00E84F92">
        <w:rPr>
          <w:rFonts w:ascii="Arial"/>
          <w:szCs w:val="22"/>
        </w:rPr>
        <w:t xml:space="preserve"> στοιχεί</w:t>
      </w:r>
      <w:r w:rsidRPr="00E84F92">
        <w:rPr>
          <w:rFonts w:ascii="Arial"/>
          <w:szCs w:val="22"/>
          <w:lang w:val="el-GR"/>
        </w:rPr>
        <w:t>ων</w:t>
      </w:r>
      <w:r w:rsidRPr="00E84F92">
        <w:rPr>
          <w:rFonts w:ascii="Arial"/>
          <w:szCs w:val="22"/>
        </w:rPr>
        <w:t xml:space="preserve"> σε όλο το </w:t>
      </w:r>
      <w:r w:rsidRPr="00E84F92">
        <w:rPr>
          <w:rFonts w:ascii="Arial"/>
          <w:szCs w:val="22"/>
          <w:lang w:val="el-GR"/>
        </w:rPr>
        <w:t>φάσμα</w:t>
      </w:r>
      <w:r w:rsidRPr="00E84F92">
        <w:rPr>
          <w:rFonts w:ascii="Arial"/>
          <w:szCs w:val="22"/>
        </w:rPr>
        <w:t xml:space="preserve"> της καμπύλης αποδόσεων και ενθάρρυναν </w:t>
      </w:r>
      <w:r w:rsidRPr="00E84F92">
        <w:rPr>
          <w:rFonts w:ascii="Arial"/>
          <w:szCs w:val="22"/>
          <w:lang w:val="el-GR"/>
        </w:rPr>
        <w:t xml:space="preserve">τις τράπεζες να στραφούν προς τη χορήγηση </w:t>
      </w:r>
      <w:r w:rsidRPr="00E84F92">
        <w:rPr>
          <w:rFonts w:ascii="Arial"/>
          <w:szCs w:val="22"/>
        </w:rPr>
        <w:t xml:space="preserve">δανείων σε νοικοκυριά και επιχειρήσεις. </w:t>
      </w:r>
      <w:r w:rsidRPr="00E84F92">
        <w:rPr>
          <w:rFonts w:ascii="Arial"/>
          <w:szCs w:val="22"/>
          <w:lang w:val="el-GR"/>
        </w:rPr>
        <w:t>Έτσι</w:t>
      </w:r>
      <w:r w:rsidRPr="00E84F92">
        <w:rPr>
          <w:rFonts w:ascii="Arial"/>
          <w:szCs w:val="22"/>
        </w:rPr>
        <w:t xml:space="preserve">, </w:t>
      </w:r>
      <w:r w:rsidRPr="00E84F92">
        <w:rPr>
          <w:rFonts w:ascii="Arial"/>
          <w:szCs w:val="22"/>
          <w:lang w:val="el-GR"/>
        </w:rPr>
        <w:t>τα προγράμματα αγοράς</w:t>
      </w:r>
      <w:r w:rsidRPr="00E84F92">
        <w:rPr>
          <w:rFonts w:ascii="Arial"/>
          <w:szCs w:val="22"/>
        </w:rPr>
        <w:t xml:space="preserve"> στήριξαν την ομαλή λειτουργία του μηχανισμού μετάδοσης </w:t>
      </w:r>
      <w:r w:rsidRPr="00E84F92">
        <w:rPr>
          <w:rFonts w:ascii="Arial"/>
          <w:szCs w:val="22"/>
          <w:lang w:val="el-GR"/>
        </w:rPr>
        <w:t xml:space="preserve">της νομισματικής πολιτικής </w:t>
      </w:r>
      <w:r w:rsidRPr="00E84F92">
        <w:rPr>
          <w:rFonts w:ascii="Arial"/>
          <w:szCs w:val="22"/>
        </w:rPr>
        <w:t>και την πρόοδο προς την επίτευξη του στόχου μας για τον πληθωρισμό.</w:t>
      </w:r>
    </w:p>
    <w:p w14:paraId="5F814C46" w14:textId="77777777" w:rsidR="00E84F92" w:rsidRPr="00E84F92" w:rsidRDefault="00E84F92" w:rsidP="00E84F92">
      <w:pPr>
        <w:pStyle w:val="P68B1DB1-BodyTextIndent36"/>
        <w:numPr>
          <w:ilvl w:val="0"/>
          <w:numId w:val="6"/>
        </w:numPr>
        <w:spacing w:before="120" w:line="360" w:lineRule="auto"/>
        <w:ind w:left="357" w:hanging="357"/>
        <w:jc w:val="both"/>
        <w:rPr>
          <w:szCs w:val="22"/>
        </w:rPr>
      </w:pPr>
      <w:r w:rsidRPr="00E84F92">
        <w:rPr>
          <w:szCs w:val="22"/>
          <w:lang w:val="el-GR"/>
        </w:rPr>
        <w:t xml:space="preserve">Αποτέλεσμα ήταν να βελτιωθούν σημαντικά </w:t>
      </w:r>
      <w:r w:rsidRPr="00E84F92">
        <w:rPr>
          <w:szCs w:val="22"/>
        </w:rPr>
        <w:t>οι συνθήκες χρηματοδότησης</w:t>
      </w:r>
      <w:r w:rsidRPr="00E84F92">
        <w:rPr>
          <w:szCs w:val="22"/>
          <w:lang w:val="el-GR"/>
        </w:rPr>
        <w:t xml:space="preserve">, επηρεάζοντας θετικά </w:t>
      </w:r>
      <w:r w:rsidRPr="00E84F92">
        <w:rPr>
          <w:szCs w:val="22"/>
        </w:rPr>
        <w:t xml:space="preserve">τις μακροοικονομικές επιδόσεις. </w:t>
      </w:r>
      <w:r w:rsidRPr="00E84F92">
        <w:rPr>
          <w:szCs w:val="22"/>
          <w:lang w:val="el-GR"/>
        </w:rPr>
        <w:t xml:space="preserve">Σημειώνεται σχετικά ότι ποικίλες </w:t>
      </w:r>
      <w:r w:rsidRPr="00E84F92">
        <w:rPr>
          <w:szCs w:val="22"/>
        </w:rPr>
        <w:t>μελέτες</w:t>
      </w:r>
      <w:r w:rsidRPr="00E84F92">
        <w:rPr>
          <w:szCs w:val="22"/>
          <w:vertAlign w:val="superscript"/>
        </w:rPr>
        <w:footnoteReference w:id="7"/>
      </w:r>
      <w:r w:rsidRPr="00E84F92">
        <w:rPr>
          <w:szCs w:val="22"/>
        </w:rPr>
        <w:t xml:space="preserve"> </w:t>
      </w:r>
      <w:r w:rsidRPr="00E84F92">
        <w:rPr>
          <w:szCs w:val="22"/>
          <w:lang w:val="el-GR"/>
        </w:rPr>
        <w:t xml:space="preserve">διαπιστώνουν </w:t>
      </w:r>
      <w:r w:rsidRPr="00E84F92">
        <w:rPr>
          <w:szCs w:val="22"/>
        </w:rPr>
        <w:t>ότι η πολιτική αρνητικ</w:t>
      </w:r>
      <w:r w:rsidRPr="00E84F92">
        <w:rPr>
          <w:szCs w:val="22"/>
          <w:lang w:val="el-GR"/>
        </w:rPr>
        <w:t>ών</w:t>
      </w:r>
      <w:r w:rsidRPr="00E84F92">
        <w:rPr>
          <w:szCs w:val="22"/>
        </w:rPr>
        <w:t xml:space="preserve"> επιτοκίων είχε θετικ</w:t>
      </w:r>
      <w:r w:rsidRPr="00E84F92">
        <w:rPr>
          <w:szCs w:val="22"/>
          <w:lang w:val="el-GR"/>
        </w:rPr>
        <w:t>ή</w:t>
      </w:r>
      <w:r w:rsidRPr="00E84F92">
        <w:rPr>
          <w:szCs w:val="22"/>
        </w:rPr>
        <w:t xml:space="preserve"> </w:t>
      </w:r>
      <w:r w:rsidRPr="00E84F92">
        <w:rPr>
          <w:szCs w:val="22"/>
          <w:lang w:val="el-GR"/>
        </w:rPr>
        <w:t>επίδραση</w:t>
      </w:r>
      <w:r w:rsidRPr="00E84F92">
        <w:rPr>
          <w:szCs w:val="22"/>
        </w:rPr>
        <w:t xml:space="preserve"> στη χορ</w:t>
      </w:r>
      <w:r w:rsidRPr="00E84F92">
        <w:rPr>
          <w:szCs w:val="22"/>
          <w:lang w:val="el-GR"/>
        </w:rPr>
        <w:t>ήγηση δανείων προς τ</w:t>
      </w:r>
      <w:r w:rsidRPr="00E84F92">
        <w:rPr>
          <w:szCs w:val="22"/>
        </w:rPr>
        <w:t xml:space="preserve">ις επιχειρήσεις. </w:t>
      </w:r>
      <w:r w:rsidRPr="00E84F92">
        <w:rPr>
          <w:szCs w:val="22"/>
          <w:lang w:val="el-GR"/>
        </w:rPr>
        <w:t>Παράλληλα</w:t>
      </w:r>
      <w:r w:rsidRPr="00E84F92">
        <w:rPr>
          <w:szCs w:val="22"/>
        </w:rPr>
        <w:t xml:space="preserve">, οι </w:t>
      </w:r>
      <w:r w:rsidRPr="00E84F92">
        <w:rPr>
          <w:szCs w:val="22"/>
          <w:lang w:val="el-GR"/>
        </w:rPr>
        <w:t xml:space="preserve">ευνοϊκές επιδράσεις </w:t>
      </w:r>
      <w:r w:rsidRPr="00E84F92">
        <w:rPr>
          <w:szCs w:val="22"/>
        </w:rPr>
        <w:t xml:space="preserve">των χαμηλών επιτοκίων στην οικονομική δραστηριότητα </w:t>
      </w:r>
      <w:r w:rsidRPr="00E84F92">
        <w:rPr>
          <w:szCs w:val="22"/>
          <w:lang w:val="el-GR"/>
        </w:rPr>
        <w:t xml:space="preserve">οδήγησαν </w:t>
      </w:r>
      <w:r w:rsidRPr="00E84F92">
        <w:rPr>
          <w:szCs w:val="22"/>
        </w:rPr>
        <w:t>σε μείωση των μη εξυπηρετούμενων δανείων</w:t>
      </w:r>
      <w:r w:rsidRPr="00E84F92">
        <w:rPr>
          <w:szCs w:val="22"/>
          <w:lang w:val="el-GR"/>
        </w:rPr>
        <w:t xml:space="preserve">, σε αύξηση των τιμών των ακινήτων και σε μείωση </w:t>
      </w:r>
      <w:r w:rsidRPr="00E84F92">
        <w:rPr>
          <w:szCs w:val="22"/>
        </w:rPr>
        <w:t xml:space="preserve">των προβλέψεων </w:t>
      </w:r>
      <w:r w:rsidRPr="00E84F92">
        <w:rPr>
          <w:szCs w:val="22"/>
          <w:lang w:val="el-GR"/>
        </w:rPr>
        <w:t xml:space="preserve">των τραπεζών </w:t>
      </w:r>
      <w:r w:rsidRPr="00E84F92">
        <w:rPr>
          <w:szCs w:val="22"/>
        </w:rPr>
        <w:t xml:space="preserve">για </w:t>
      </w:r>
      <w:r w:rsidRPr="00E84F92">
        <w:rPr>
          <w:szCs w:val="22"/>
          <w:lang w:val="el-GR"/>
        </w:rPr>
        <w:t>τον πιστωτικό κίνδυνο</w:t>
      </w:r>
      <w:r w:rsidRPr="00E84F92">
        <w:rPr>
          <w:szCs w:val="22"/>
        </w:rPr>
        <w:t>.</w:t>
      </w:r>
    </w:p>
    <w:p w14:paraId="7E57F058" w14:textId="77777777" w:rsidR="00E84F92" w:rsidRPr="00E84F92" w:rsidRDefault="00E84F92" w:rsidP="00E84F92">
      <w:pPr>
        <w:pStyle w:val="P68B1DB1-BodyTextIndent36"/>
        <w:numPr>
          <w:ilvl w:val="0"/>
          <w:numId w:val="6"/>
        </w:numPr>
        <w:spacing w:before="120" w:line="360" w:lineRule="auto"/>
        <w:ind w:left="357" w:hanging="357"/>
        <w:jc w:val="both"/>
        <w:rPr>
          <w:szCs w:val="22"/>
        </w:rPr>
      </w:pPr>
      <w:r w:rsidRPr="00E84F92">
        <w:rPr>
          <w:szCs w:val="22"/>
          <w:lang w:val="el-GR"/>
        </w:rPr>
        <w:t xml:space="preserve">Αν </w:t>
      </w:r>
      <w:r w:rsidRPr="00E84F92">
        <w:rPr>
          <w:szCs w:val="22"/>
        </w:rPr>
        <w:t xml:space="preserve">δεν υπήρχαν αυτά τα </w:t>
      </w:r>
      <w:r w:rsidRPr="00E84F92">
        <w:rPr>
          <w:szCs w:val="22"/>
          <w:lang w:val="el-GR"/>
        </w:rPr>
        <w:t xml:space="preserve">συμβατικά </w:t>
      </w:r>
      <w:r w:rsidRPr="00E84F92">
        <w:rPr>
          <w:szCs w:val="22"/>
        </w:rPr>
        <w:t xml:space="preserve">και μη </w:t>
      </w:r>
      <w:r w:rsidRPr="00E84F92">
        <w:rPr>
          <w:szCs w:val="22"/>
          <w:lang w:val="el-GR"/>
        </w:rPr>
        <w:t xml:space="preserve">συμβατικά </w:t>
      </w:r>
      <w:r w:rsidRPr="00E84F92">
        <w:rPr>
          <w:szCs w:val="22"/>
        </w:rPr>
        <w:t>μέτρα, τα οποία αλληλοενισχ</w:t>
      </w:r>
      <w:r w:rsidRPr="00E84F92">
        <w:rPr>
          <w:szCs w:val="22"/>
          <w:lang w:val="el-GR"/>
        </w:rPr>
        <w:t>ύονταν</w:t>
      </w:r>
      <w:r w:rsidRPr="00E84F92">
        <w:rPr>
          <w:szCs w:val="22"/>
        </w:rPr>
        <w:t xml:space="preserve">, ο πληθωρισμός και </w:t>
      </w:r>
      <w:r w:rsidRPr="00E84F92">
        <w:rPr>
          <w:szCs w:val="22"/>
          <w:lang w:val="el-GR"/>
        </w:rPr>
        <w:t xml:space="preserve">ο ρυθμός </w:t>
      </w:r>
      <w:r w:rsidRPr="00E84F92">
        <w:rPr>
          <w:szCs w:val="22"/>
        </w:rPr>
        <w:t>ανάπτυξη</w:t>
      </w:r>
      <w:r w:rsidRPr="00E84F92">
        <w:rPr>
          <w:szCs w:val="22"/>
          <w:lang w:val="el-GR"/>
        </w:rPr>
        <w:t>ς</w:t>
      </w:r>
      <w:r w:rsidRPr="00E84F92">
        <w:rPr>
          <w:szCs w:val="22"/>
        </w:rPr>
        <w:t xml:space="preserve"> θα ήταν </w:t>
      </w:r>
      <w:r w:rsidRPr="00E84F92">
        <w:rPr>
          <w:szCs w:val="22"/>
          <w:lang w:val="el-GR"/>
        </w:rPr>
        <w:t xml:space="preserve">σε </w:t>
      </w:r>
      <w:r w:rsidRPr="00E84F92">
        <w:rPr>
          <w:szCs w:val="22"/>
        </w:rPr>
        <w:t>πολύ χαμηλότερ</w:t>
      </w:r>
      <w:r w:rsidRPr="00E84F92">
        <w:rPr>
          <w:szCs w:val="22"/>
          <w:lang w:val="el-GR"/>
        </w:rPr>
        <w:t xml:space="preserve">α επίπεδα και </w:t>
      </w:r>
      <w:r w:rsidRPr="00E84F92">
        <w:rPr>
          <w:szCs w:val="22"/>
        </w:rPr>
        <w:t xml:space="preserve">η ανθεκτικότητα του χρηματοπιστωτικού συστήματος θα είχε υπονομευθεί. Όπως </w:t>
      </w:r>
      <w:r w:rsidRPr="00E84F92">
        <w:rPr>
          <w:szCs w:val="22"/>
          <w:lang w:val="el-GR"/>
        </w:rPr>
        <w:t xml:space="preserve">είπε και </w:t>
      </w:r>
      <w:r w:rsidRPr="00E84F92">
        <w:rPr>
          <w:szCs w:val="22"/>
        </w:rPr>
        <w:t xml:space="preserve">ο </w:t>
      </w:r>
      <w:r w:rsidRPr="00E84F92">
        <w:rPr>
          <w:szCs w:val="22"/>
          <w:lang w:val="el-GR"/>
        </w:rPr>
        <w:t>Μάριο Ντράγκι</w:t>
      </w:r>
      <w:r w:rsidRPr="00E84F92">
        <w:rPr>
          <w:szCs w:val="22"/>
        </w:rPr>
        <w:t xml:space="preserve"> το 2016</w:t>
      </w:r>
      <w:r w:rsidRPr="00E84F92">
        <w:rPr>
          <w:szCs w:val="22"/>
          <w:lang w:val="el-GR"/>
        </w:rPr>
        <w:t>,</w:t>
      </w:r>
      <w:r w:rsidRPr="00E84F92">
        <w:rPr>
          <w:szCs w:val="22"/>
        </w:rPr>
        <w:t xml:space="preserve"> </w:t>
      </w:r>
      <w:r w:rsidRPr="00E84F92">
        <w:rPr>
          <w:szCs w:val="22"/>
          <w:lang w:val="el-GR"/>
        </w:rPr>
        <w:t>“αν</w:t>
      </w:r>
      <w:r w:rsidRPr="00E84F92">
        <w:rPr>
          <w:szCs w:val="22"/>
        </w:rPr>
        <w:t xml:space="preserve"> δεν είχαμε </w:t>
      </w:r>
      <w:r w:rsidRPr="00E84F92">
        <w:rPr>
          <w:szCs w:val="22"/>
          <w:lang w:val="el-GR"/>
        </w:rPr>
        <w:t xml:space="preserve">αναλάβει δράση </w:t>
      </w:r>
      <w:r w:rsidRPr="00E84F92">
        <w:rPr>
          <w:szCs w:val="22"/>
        </w:rPr>
        <w:t xml:space="preserve">τα τελευταία χρόνια, </w:t>
      </w:r>
      <w:r w:rsidRPr="00E84F92">
        <w:rPr>
          <w:szCs w:val="22"/>
          <w:lang w:val="el-GR"/>
        </w:rPr>
        <w:t xml:space="preserve">θα είχαμε οδηγηθεί σε έναν </w:t>
      </w:r>
      <w:r w:rsidRPr="00E84F92">
        <w:rPr>
          <w:szCs w:val="22"/>
        </w:rPr>
        <w:t>καταστροφικό αποπληθωρισμό</w:t>
      </w:r>
      <w:r w:rsidRPr="00E84F92">
        <w:rPr>
          <w:szCs w:val="22"/>
          <w:lang w:val="el-GR"/>
        </w:rPr>
        <w:t>”</w:t>
      </w:r>
      <w:r w:rsidRPr="00E84F92">
        <w:rPr>
          <w:szCs w:val="22"/>
        </w:rPr>
        <w:t>.</w:t>
      </w:r>
      <w:r w:rsidRPr="00E84F92">
        <w:rPr>
          <w:szCs w:val="22"/>
          <w:vertAlign w:val="superscript"/>
        </w:rPr>
        <w:footnoteReference w:id="8"/>
      </w:r>
    </w:p>
    <w:p w14:paraId="0EAC54C9" w14:textId="77777777" w:rsidR="00E84F92" w:rsidRPr="00E84F92" w:rsidRDefault="00E84F92" w:rsidP="00E84F92">
      <w:pPr>
        <w:pStyle w:val="BodyTextIndent3"/>
        <w:numPr>
          <w:ilvl w:val="0"/>
          <w:numId w:val="6"/>
        </w:numPr>
        <w:spacing w:before="120" w:line="360" w:lineRule="auto"/>
        <w:ind w:left="357" w:hanging="357"/>
        <w:jc w:val="both"/>
        <w:rPr>
          <w:sz w:val="22"/>
          <w:szCs w:val="22"/>
          <w:lang w:val="el-GR"/>
        </w:rPr>
      </w:pPr>
      <w:r w:rsidRPr="00E84F92">
        <w:rPr>
          <w:sz w:val="22"/>
          <w:szCs w:val="22"/>
          <w:lang w:val="el-GR"/>
        </w:rPr>
        <w:t>Σύμφωνα με εκτιμήσεις της ΕΚΤ</w:t>
      </w:r>
      <w:r w:rsidRPr="00E84F92">
        <w:rPr>
          <w:sz w:val="22"/>
          <w:szCs w:val="22"/>
          <w:vertAlign w:val="superscript"/>
        </w:rPr>
        <w:footnoteReference w:id="9"/>
      </w:r>
      <w:r w:rsidRPr="00E84F92">
        <w:rPr>
          <w:sz w:val="22"/>
          <w:szCs w:val="22"/>
          <w:lang w:val="el-GR"/>
        </w:rPr>
        <w:t xml:space="preserve"> με βάση ένα υποθετικό σενάριο χωρίς τη λήψη των μη συμβατικών μέτρων, ο πληθωρισμός θα ήταν κατά 0,3-0,5 της ποσοστιαίας μονάδας χαμηλότερος ετησίως την περίοδο 2015-2019, ενώ το πραγματικό ΑΕΠ θα ήταν μεταξύ 2,5-3,0 ποσ. μον. χαμηλότερο από το επίπεδο που παρατηρήθηκε στο τέλος του 2019.</w:t>
      </w:r>
    </w:p>
    <w:p w14:paraId="043D5D65" w14:textId="77777777" w:rsidR="00E84F92" w:rsidRPr="00E84F92" w:rsidRDefault="00E84F92" w:rsidP="00E84F92">
      <w:pPr>
        <w:pStyle w:val="P68B1DB1-BodyTextIndent33"/>
        <w:numPr>
          <w:ilvl w:val="0"/>
          <w:numId w:val="6"/>
        </w:numPr>
        <w:spacing w:before="120" w:line="360" w:lineRule="auto"/>
        <w:jc w:val="both"/>
        <w:rPr>
          <w:rFonts w:ascii="Arial" w:hAnsi="Arial" w:cs="Arial"/>
          <w:szCs w:val="22"/>
        </w:rPr>
      </w:pPr>
      <w:r w:rsidRPr="00E84F92">
        <w:rPr>
          <w:rFonts w:ascii="Arial" w:hAnsi="Arial" w:cs="Arial"/>
          <w:szCs w:val="22"/>
        </w:rPr>
        <w:t xml:space="preserve">Συνολικά, η σημαντική χαλάρωση της νομισματικής πολιτικής της ΕΚΤ έχει αμβλύνει </w:t>
      </w:r>
      <w:r w:rsidRPr="00E84F92">
        <w:rPr>
          <w:rFonts w:ascii="Arial" w:hAnsi="Arial" w:cs="Arial"/>
          <w:szCs w:val="22"/>
          <w:lang w:val="el-GR"/>
        </w:rPr>
        <w:t xml:space="preserve">σε μεγάλο βαθμό </w:t>
      </w:r>
      <w:r w:rsidRPr="00E84F92">
        <w:rPr>
          <w:rFonts w:ascii="Arial" w:hAnsi="Arial" w:cs="Arial"/>
          <w:szCs w:val="22"/>
        </w:rPr>
        <w:t xml:space="preserve">τις αρνητικές επιπτώσεις μιας σειράς διαταραχών στην οικονομία. </w:t>
      </w:r>
      <w:r w:rsidRPr="00E84F92">
        <w:rPr>
          <w:rFonts w:ascii="Arial" w:hAnsi="Arial" w:cs="Arial"/>
          <w:szCs w:val="22"/>
        </w:rPr>
        <w:lastRenderedPageBreak/>
        <w:t>Κατόρθωσε να απο</w:t>
      </w:r>
      <w:r w:rsidRPr="00E84F92">
        <w:rPr>
          <w:rFonts w:ascii="Arial" w:hAnsi="Arial" w:cs="Arial"/>
          <w:szCs w:val="22"/>
          <w:lang w:val="el-GR"/>
        </w:rPr>
        <w:t xml:space="preserve">τρέψει </w:t>
      </w:r>
      <w:r w:rsidRPr="00E84F92">
        <w:rPr>
          <w:rFonts w:ascii="Arial" w:hAnsi="Arial" w:cs="Arial"/>
          <w:szCs w:val="22"/>
        </w:rPr>
        <w:t>τον αποπληθωρισμό</w:t>
      </w:r>
      <w:r w:rsidRPr="00E84F92">
        <w:rPr>
          <w:rFonts w:ascii="Arial" w:hAnsi="Arial" w:cs="Arial"/>
          <w:szCs w:val="22"/>
          <w:lang w:val="el-GR"/>
        </w:rPr>
        <w:t xml:space="preserve"> και</w:t>
      </w:r>
      <w:r w:rsidRPr="00E84F92">
        <w:rPr>
          <w:rFonts w:ascii="Arial" w:hAnsi="Arial" w:cs="Arial"/>
          <w:szCs w:val="22"/>
        </w:rPr>
        <w:t xml:space="preserve"> την ύφεση</w:t>
      </w:r>
      <w:r w:rsidRPr="00E84F92">
        <w:rPr>
          <w:rFonts w:ascii="Arial" w:hAnsi="Arial" w:cs="Arial"/>
          <w:szCs w:val="22"/>
          <w:lang w:val="el-GR"/>
        </w:rPr>
        <w:t>, ενώ παράλληλα</w:t>
      </w:r>
      <w:r w:rsidRPr="00E84F92">
        <w:rPr>
          <w:rFonts w:ascii="Arial" w:hAnsi="Arial" w:cs="Arial"/>
          <w:szCs w:val="22"/>
        </w:rPr>
        <w:t xml:space="preserve"> ενίσχυσε τη λειτουργία του χρηματοπιστωτικού συστήματος. Πράγματι, το χρηματοπιστωτικό σύστημα της ζώνης του ευρώ </w:t>
      </w:r>
      <w:r w:rsidRPr="00E84F92">
        <w:rPr>
          <w:rFonts w:ascii="Arial" w:hAnsi="Arial" w:cs="Arial"/>
          <w:szCs w:val="22"/>
          <w:lang w:val="el-GR"/>
        </w:rPr>
        <w:t xml:space="preserve">αναδύθηκε από την κρίση </w:t>
      </w:r>
      <w:r w:rsidRPr="00E84F92">
        <w:rPr>
          <w:rFonts w:ascii="Arial" w:hAnsi="Arial" w:cs="Arial"/>
          <w:szCs w:val="22"/>
        </w:rPr>
        <w:t>πολύ ισχυρότερο απ</w:t>
      </w:r>
      <w:r w:rsidRPr="00E84F92">
        <w:rPr>
          <w:rFonts w:ascii="Arial" w:hAnsi="Arial" w:cs="Arial"/>
          <w:szCs w:val="22"/>
          <w:lang w:val="el-GR"/>
        </w:rPr>
        <w:t xml:space="preserve">ό </w:t>
      </w:r>
      <w:r w:rsidRPr="00E84F92">
        <w:rPr>
          <w:rFonts w:ascii="Arial" w:hAnsi="Arial" w:cs="Arial"/>
          <w:szCs w:val="22"/>
        </w:rPr>
        <w:t xml:space="preserve">ό,τι </w:t>
      </w:r>
      <w:r w:rsidRPr="00E84F92">
        <w:rPr>
          <w:rFonts w:ascii="Arial" w:hAnsi="Arial" w:cs="Arial"/>
          <w:szCs w:val="22"/>
          <w:lang w:val="el-GR"/>
        </w:rPr>
        <w:t xml:space="preserve">ήταν </w:t>
      </w:r>
      <w:r w:rsidRPr="00E84F92">
        <w:rPr>
          <w:rFonts w:ascii="Arial" w:hAnsi="Arial" w:cs="Arial"/>
          <w:szCs w:val="22"/>
        </w:rPr>
        <w:t>πρ</w:t>
      </w:r>
      <w:r w:rsidRPr="00E84F92">
        <w:rPr>
          <w:rFonts w:ascii="Arial" w:hAnsi="Arial" w:cs="Arial"/>
          <w:szCs w:val="22"/>
          <w:lang w:val="el-GR"/>
        </w:rPr>
        <w:t>οηγουμένως</w:t>
      </w:r>
      <w:r w:rsidRPr="00E84F92">
        <w:rPr>
          <w:rFonts w:ascii="Arial" w:hAnsi="Arial" w:cs="Arial"/>
          <w:szCs w:val="22"/>
        </w:rPr>
        <w:t xml:space="preserve">. </w:t>
      </w:r>
    </w:p>
    <w:p w14:paraId="41348BE9" w14:textId="77777777" w:rsidR="00E84F92" w:rsidRPr="00E84F92" w:rsidRDefault="00E84F92" w:rsidP="00E84F92">
      <w:pPr>
        <w:pStyle w:val="BodyTextIndent3"/>
        <w:spacing w:before="120" w:line="360" w:lineRule="auto"/>
        <w:ind w:left="357"/>
        <w:jc w:val="both"/>
        <w:rPr>
          <w:sz w:val="22"/>
          <w:szCs w:val="22"/>
          <w:lang w:val="el-GR"/>
        </w:rPr>
      </w:pPr>
    </w:p>
    <w:p w14:paraId="17E84788" w14:textId="77777777" w:rsidR="00E84F92" w:rsidRPr="00E84F92" w:rsidRDefault="00E84F92" w:rsidP="00E84F92">
      <w:pPr>
        <w:pStyle w:val="P68B1DB1-BodyTextIndent32"/>
        <w:spacing w:before="120" w:after="360" w:line="360" w:lineRule="auto"/>
        <w:ind w:left="340"/>
        <w:jc w:val="both"/>
        <w:rPr>
          <w:rFonts w:ascii="Arial" w:hAnsi="Arial" w:cs="Arial"/>
          <w:i w:val="0"/>
          <w:szCs w:val="22"/>
        </w:rPr>
      </w:pPr>
      <w:r w:rsidRPr="00E84F92">
        <w:rPr>
          <w:rFonts w:ascii="Arial" w:hAnsi="Arial" w:cs="Arial"/>
          <w:i w:val="0"/>
          <w:szCs w:val="22"/>
          <w:lang w:val="el-GR"/>
        </w:rPr>
        <w:t xml:space="preserve">Γ. Συνέπειες </w:t>
      </w:r>
      <w:r w:rsidRPr="00E84F92">
        <w:rPr>
          <w:rFonts w:ascii="Arial" w:hAnsi="Arial" w:cs="Arial"/>
          <w:i w:val="0"/>
          <w:szCs w:val="22"/>
        </w:rPr>
        <w:t>για το χρηματοπιστωτικό σύστημα στη ζώνη του ευρώ</w:t>
      </w:r>
    </w:p>
    <w:p w14:paraId="450CF6BC"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Όσον αφορά </w:t>
      </w:r>
      <w:r w:rsidRPr="00E84F92">
        <w:rPr>
          <w:rFonts w:ascii="Arial" w:hAnsi="Arial" w:cs="Arial"/>
          <w:szCs w:val="22"/>
          <w:lang w:val="el-GR"/>
        </w:rPr>
        <w:t xml:space="preserve">τις επιδράσεις που είχε </w:t>
      </w:r>
      <w:r w:rsidRPr="00E84F92">
        <w:rPr>
          <w:rFonts w:ascii="Arial" w:hAnsi="Arial" w:cs="Arial"/>
          <w:szCs w:val="22"/>
        </w:rPr>
        <w:t>στο χρηματοπιστωτικό σύστημα</w:t>
      </w:r>
      <w:r w:rsidRPr="00E84F92">
        <w:rPr>
          <w:rFonts w:ascii="Arial" w:hAnsi="Arial" w:cs="Arial"/>
          <w:szCs w:val="22"/>
          <w:lang w:val="el-GR"/>
        </w:rPr>
        <w:t xml:space="preserve"> το </w:t>
      </w:r>
      <w:r w:rsidRPr="00E84F92">
        <w:rPr>
          <w:rFonts w:ascii="Arial" w:hAnsi="Arial" w:cs="Arial"/>
          <w:szCs w:val="22"/>
        </w:rPr>
        <w:t xml:space="preserve">περιβάλλον χαμηλών επιτοκίων, </w:t>
      </w:r>
      <w:r w:rsidRPr="00E84F92">
        <w:rPr>
          <w:rFonts w:ascii="Arial" w:hAnsi="Arial" w:cs="Arial"/>
          <w:szCs w:val="22"/>
          <w:lang w:val="el-GR"/>
        </w:rPr>
        <w:t>θα ήθελα να επισημάνω τα εξής</w:t>
      </w:r>
      <w:r w:rsidRPr="00E84F92">
        <w:rPr>
          <w:rFonts w:ascii="Arial" w:hAnsi="Arial" w:cs="Arial"/>
          <w:szCs w:val="22"/>
        </w:rPr>
        <w:t>:</w:t>
      </w:r>
    </w:p>
    <w:p w14:paraId="1D626B55"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Μια πολύ σημαντική συμβολή των μέτρων νομισματικής πολιτικής, συμπεριλαμβανομένων των χαμηλών επιτοκίων κατά τα </w:t>
      </w:r>
      <w:r w:rsidRPr="00E84F92">
        <w:rPr>
          <w:rFonts w:ascii="Arial" w:hAnsi="Arial" w:cs="Arial"/>
          <w:szCs w:val="22"/>
          <w:lang w:val="el-GR"/>
        </w:rPr>
        <w:t>προηγούμενα</w:t>
      </w:r>
      <w:r w:rsidRPr="00E84F92">
        <w:rPr>
          <w:rFonts w:ascii="Arial" w:hAnsi="Arial" w:cs="Arial"/>
          <w:szCs w:val="22"/>
        </w:rPr>
        <w:t xml:space="preserve"> έτη, ήταν η δια</w:t>
      </w:r>
      <w:r w:rsidRPr="00E84F92">
        <w:rPr>
          <w:rFonts w:ascii="Arial" w:hAnsi="Arial" w:cs="Arial"/>
          <w:szCs w:val="22"/>
          <w:lang w:val="el-GR"/>
        </w:rPr>
        <w:t xml:space="preserve">φύλαξη </w:t>
      </w:r>
      <w:r w:rsidRPr="00E84F92">
        <w:rPr>
          <w:rFonts w:ascii="Arial" w:hAnsi="Arial" w:cs="Arial"/>
          <w:szCs w:val="22"/>
        </w:rPr>
        <w:t xml:space="preserve">της μακροοικονομικής σταθερότητας. Ένα σταθερό </w:t>
      </w:r>
      <w:r w:rsidRPr="00E84F92">
        <w:rPr>
          <w:rFonts w:ascii="Arial" w:hAnsi="Arial" w:cs="Arial"/>
          <w:szCs w:val="22"/>
          <w:lang w:val="el-GR"/>
        </w:rPr>
        <w:t>μακρο</w:t>
      </w:r>
      <w:r w:rsidRPr="00E84F92">
        <w:rPr>
          <w:rFonts w:ascii="Arial" w:hAnsi="Arial" w:cs="Arial"/>
          <w:szCs w:val="22"/>
        </w:rPr>
        <w:t>οικονομικό περιβάλλον είναι καίριας σημασίας για την ομαλή λειτουργία του χρηματοπιστωτικού συστήματος.</w:t>
      </w:r>
    </w:p>
    <w:p w14:paraId="63BC57F8"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Επιπροσθέτως, τα μέτρα χαλάρωσης κατόρθωσαν να ενισχύσουν </w:t>
      </w:r>
      <w:r w:rsidRPr="00E84F92">
        <w:rPr>
          <w:rFonts w:ascii="Arial" w:hAnsi="Arial" w:cs="Arial"/>
          <w:szCs w:val="22"/>
        </w:rPr>
        <w:t xml:space="preserve">το δίαυλο τραπεζικών χορηγήσεων και </w:t>
      </w:r>
      <w:r w:rsidRPr="00E84F92">
        <w:rPr>
          <w:rFonts w:ascii="Arial" w:hAnsi="Arial" w:cs="Arial"/>
          <w:szCs w:val="22"/>
          <w:lang w:val="el-GR"/>
        </w:rPr>
        <w:t>να μετριάσουν τις</w:t>
      </w:r>
      <w:r w:rsidRPr="00E84F92">
        <w:rPr>
          <w:rFonts w:ascii="Arial" w:hAnsi="Arial" w:cs="Arial"/>
          <w:szCs w:val="22"/>
        </w:rPr>
        <w:t xml:space="preserve"> </w:t>
      </w:r>
      <w:r w:rsidRPr="00E84F92">
        <w:rPr>
          <w:rFonts w:ascii="Arial" w:hAnsi="Arial" w:cs="Arial"/>
          <w:szCs w:val="22"/>
          <w:lang w:val="el-GR"/>
        </w:rPr>
        <w:t xml:space="preserve">δυσλειτουργίες του </w:t>
      </w:r>
      <w:r w:rsidRPr="00E84F92">
        <w:rPr>
          <w:rFonts w:ascii="Arial" w:hAnsi="Arial" w:cs="Arial"/>
          <w:szCs w:val="22"/>
        </w:rPr>
        <w:t>μηχανισμ</w:t>
      </w:r>
      <w:r w:rsidRPr="00E84F92">
        <w:rPr>
          <w:rFonts w:ascii="Arial" w:hAnsi="Arial" w:cs="Arial"/>
          <w:szCs w:val="22"/>
          <w:lang w:val="el-GR"/>
        </w:rPr>
        <w:t>ού</w:t>
      </w:r>
      <w:r w:rsidRPr="00E84F92">
        <w:rPr>
          <w:rFonts w:ascii="Arial" w:hAnsi="Arial" w:cs="Arial"/>
          <w:szCs w:val="22"/>
        </w:rPr>
        <w:t xml:space="preserve"> μετάδοσης </w:t>
      </w:r>
      <w:r w:rsidRPr="00E84F92">
        <w:rPr>
          <w:rFonts w:ascii="Arial" w:hAnsi="Arial" w:cs="Arial"/>
          <w:szCs w:val="22"/>
          <w:lang w:val="el-GR"/>
        </w:rPr>
        <w:t xml:space="preserve">της νομισματικής </w:t>
      </w:r>
      <w:r w:rsidRPr="00E84F92">
        <w:rPr>
          <w:rFonts w:ascii="Arial" w:hAnsi="Arial" w:cs="Arial"/>
          <w:szCs w:val="22"/>
        </w:rPr>
        <w:t xml:space="preserve">πολιτικής, περιορίζοντας τον κίνδυνο αναχρηματοδότησης και το κόστος εξυπηρέτησης του χρέους των μη χρηματοπιστωτικών επιχειρήσεων και των νοικοκυριών. </w:t>
      </w:r>
    </w:p>
    <w:p w14:paraId="4B87B8DC"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Επιτυγχάνοντας κατάλληλη ισορροπία ανάμεσα στην ανάγκη να καταπολεμηθεί ο χαμηλός πληθωρισμός και στην ανάγκη να στηριχθεί η </w:t>
      </w:r>
      <w:r w:rsidRPr="00E84F92">
        <w:rPr>
          <w:rFonts w:ascii="Arial" w:hAnsi="Arial" w:cs="Arial"/>
          <w:szCs w:val="22"/>
        </w:rPr>
        <w:t>ανάπτυξη, η ΕΚΤ κατ</w:t>
      </w:r>
      <w:r w:rsidRPr="00E84F92">
        <w:rPr>
          <w:rFonts w:ascii="Arial" w:hAnsi="Arial" w:cs="Arial"/>
          <w:szCs w:val="22"/>
          <w:lang w:val="el-GR"/>
        </w:rPr>
        <w:t xml:space="preserve">όρθωσε </w:t>
      </w:r>
      <w:r w:rsidRPr="00E84F92">
        <w:rPr>
          <w:rFonts w:ascii="Arial" w:hAnsi="Arial" w:cs="Arial"/>
          <w:szCs w:val="22"/>
        </w:rPr>
        <w:t xml:space="preserve">να </w:t>
      </w:r>
      <w:r w:rsidRPr="00E84F92">
        <w:rPr>
          <w:rFonts w:ascii="Arial" w:hAnsi="Arial" w:cs="Arial"/>
          <w:szCs w:val="22"/>
          <w:lang w:val="el-GR"/>
        </w:rPr>
        <w:t xml:space="preserve">αποτρέψει μια </w:t>
      </w:r>
      <w:r w:rsidRPr="00E84F92">
        <w:rPr>
          <w:rFonts w:ascii="Arial" w:hAnsi="Arial" w:cs="Arial"/>
          <w:szCs w:val="22"/>
        </w:rPr>
        <w:t>παρατεταμένη μακροοικονομική κρίση</w:t>
      </w:r>
      <w:r w:rsidRPr="00E84F92">
        <w:rPr>
          <w:rFonts w:ascii="Arial" w:hAnsi="Arial" w:cs="Arial"/>
          <w:szCs w:val="22"/>
          <w:lang w:val="el-GR"/>
        </w:rPr>
        <w:t xml:space="preserve"> σ</w:t>
      </w:r>
      <w:r w:rsidRPr="00E84F92">
        <w:rPr>
          <w:rFonts w:ascii="Arial" w:hAnsi="Arial" w:cs="Arial"/>
          <w:szCs w:val="22"/>
        </w:rPr>
        <w:t>τη ζώνη του ευρώ</w:t>
      </w:r>
      <w:r w:rsidRPr="00E84F92">
        <w:rPr>
          <w:rFonts w:ascii="Arial" w:hAnsi="Arial" w:cs="Arial"/>
          <w:szCs w:val="22"/>
          <w:lang w:val="el-GR"/>
        </w:rPr>
        <w:t>, αλλά</w:t>
      </w:r>
      <w:r w:rsidRPr="00E84F92">
        <w:rPr>
          <w:rFonts w:ascii="Arial" w:hAnsi="Arial" w:cs="Arial"/>
          <w:szCs w:val="22"/>
        </w:rPr>
        <w:t xml:space="preserve"> ταυτόχρονα </w:t>
      </w:r>
      <w:r w:rsidRPr="00E84F92">
        <w:rPr>
          <w:rFonts w:ascii="Arial" w:hAnsi="Arial" w:cs="Arial"/>
          <w:szCs w:val="22"/>
          <w:lang w:val="el-GR"/>
        </w:rPr>
        <w:t xml:space="preserve">και </w:t>
      </w:r>
      <w:r w:rsidRPr="00E84F92">
        <w:rPr>
          <w:rFonts w:ascii="Arial" w:hAnsi="Arial" w:cs="Arial"/>
          <w:szCs w:val="22"/>
        </w:rPr>
        <w:t xml:space="preserve">την κλιμάκωση </w:t>
      </w:r>
      <w:r w:rsidRPr="00E84F92">
        <w:rPr>
          <w:rFonts w:ascii="Arial" w:hAnsi="Arial" w:cs="Arial"/>
          <w:szCs w:val="22"/>
          <w:lang w:val="el-GR"/>
        </w:rPr>
        <w:t xml:space="preserve">των εντάσεων </w:t>
      </w:r>
      <w:r w:rsidRPr="00E84F92">
        <w:rPr>
          <w:rFonts w:ascii="Arial" w:hAnsi="Arial" w:cs="Arial"/>
          <w:szCs w:val="22"/>
        </w:rPr>
        <w:t xml:space="preserve">στο χρηματοπιστωτικό τομέα. </w:t>
      </w:r>
    </w:p>
    <w:p w14:paraId="30CB9BC0"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Η </w:t>
      </w:r>
      <w:r w:rsidRPr="00E84F92">
        <w:rPr>
          <w:rFonts w:ascii="Arial" w:hAnsi="Arial" w:cs="Arial"/>
          <w:szCs w:val="22"/>
          <w:lang w:val="el-GR"/>
        </w:rPr>
        <w:t xml:space="preserve">χορήγηση </w:t>
      </w:r>
      <w:r w:rsidRPr="00E84F92">
        <w:rPr>
          <w:rFonts w:ascii="Arial" w:hAnsi="Arial" w:cs="Arial"/>
          <w:szCs w:val="22"/>
        </w:rPr>
        <w:t>άφθονη</w:t>
      </w:r>
      <w:r w:rsidRPr="00E84F92">
        <w:rPr>
          <w:rFonts w:ascii="Arial" w:hAnsi="Arial" w:cs="Arial"/>
          <w:szCs w:val="22"/>
          <w:lang w:val="el-GR"/>
        </w:rPr>
        <w:t>ς</w:t>
      </w:r>
      <w:r w:rsidRPr="00E84F92">
        <w:rPr>
          <w:rFonts w:ascii="Arial" w:hAnsi="Arial" w:cs="Arial"/>
          <w:szCs w:val="22"/>
        </w:rPr>
        <w:t xml:space="preserve"> </w:t>
      </w:r>
      <w:r w:rsidRPr="00E84F92">
        <w:rPr>
          <w:rFonts w:ascii="Arial" w:hAnsi="Arial" w:cs="Arial"/>
          <w:szCs w:val="22"/>
          <w:lang w:val="el-GR"/>
        </w:rPr>
        <w:t>ρευστότητας</w:t>
      </w:r>
      <w:r w:rsidRPr="00E84F92">
        <w:rPr>
          <w:rFonts w:ascii="Arial" w:hAnsi="Arial" w:cs="Arial"/>
          <w:szCs w:val="22"/>
        </w:rPr>
        <w:t xml:space="preserve"> </w:t>
      </w:r>
      <w:r w:rsidRPr="00E84F92">
        <w:rPr>
          <w:rFonts w:ascii="Arial" w:hAnsi="Arial" w:cs="Arial"/>
          <w:szCs w:val="22"/>
          <w:lang w:val="el-GR"/>
        </w:rPr>
        <w:t>από τις κεντρικές τράπεζες</w:t>
      </w:r>
      <w:r w:rsidRPr="00E84F92">
        <w:rPr>
          <w:rFonts w:ascii="Arial" w:hAnsi="Arial" w:cs="Arial"/>
          <w:szCs w:val="22"/>
        </w:rPr>
        <w:t xml:space="preserve"> </w:t>
      </w:r>
      <w:r w:rsidRPr="00E84F92">
        <w:rPr>
          <w:rFonts w:ascii="Arial" w:hAnsi="Arial" w:cs="Arial"/>
          <w:szCs w:val="22"/>
          <w:lang w:val="el-GR"/>
        </w:rPr>
        <w:t xml:space="preserve">προς </w:t>
      </w:r>
      <w:r w:rsidRPr="00E84F92">
        <w:rPr>
          <w:rFonts w:ascii="Arial" w:hAnsi="Arial" w:cs="Arial"/>
          <w:szCs w:val="22"/>
        </w:rPr>
        <w:t>το χρηματοπιστωτικό σύστημα άμβλυνε τις βραχυ</w:t>
      </w:r>
      <w:r w:rsidRPr="00E84F92">
        <w:rPr>
          <w:rFonts w:ascii="Arial" w:hAnsi="Arial" w:cs="Arial"/>
          <w:szCs w:val="22"/>
          <w:lang w:val="el-GR"/>
        </w:rPr>
        <w:t>χρόνιες</w:t>
      </w:r>
      <w:r w:rsidRPr="00E84F92">
        <w:rPr>
          <w:rFonts w:ascii="Arial" w:hAnsi="Arial" w:cs="Arial"/>
          <w:szCs w:val="22"/>
        </w:rPr>
        <w:t xml:space="preserve"> </w:t>
      </w:r>
      <w:r w:rsidRPr="00E84F92">
        <w:rPr>
          <w:rFonts w:ascii="Arial" w:hAnsi="Arial" w:cs="Arial"/>
          <w:szCs w:val="22"/>
          <w:lang w:val="el-GR"/>
        </w:rPr>
        <w:t xml:space="preserve">χρηματοδοτικές </w:t>
      </w:r>
      <w:r w:rsidRPr="00E84F92">
        <w:rPr>
          <w:rFonts w:ascii="Arial" w:hAnsi="Arial" w:cs="Arial"/>
          <w:szCs w:val="22"/>
        </w:rPr>
        <w:t>δυσ</w:t>
      </w:r>
      <w:r w:rsidRPr="00E84F92">
        <w:rPr>
          <w:rFonts w:ascii="Arial" w:hAnsi="Arial" w:cs="Arial"/>
          <w:szCs w:val="22"/>
          <w:lang w:val="el-GR"/>
        </w:rPr>
        <w:t>χέρειες των τραπεζών</w:t>
      </w:r>
      <w:r w:rsidRPr="00E84F92">
        <w:rPr>
          <w:rFonts w:ascii="Arial" w:hAnsi="Arial" w:cs="Arial"/>
          <w:szCs w:val="22"/>
        </w:rPr>
        <w:t xml:space="preserve">, οι οποίες, εάν δεν αντιμετωπίζονταν, θα μπορούσαν να </w:t>
      </w:r>
      <w:r w:rsidRPr="00E84F92">
        <w:rPr>
          <w:rFonts w:ascii="Arial" w:hAnsi="Arial" w:cs="Arial"/>
          <w:szCs w:val="22"/>
          <w:lang w:val="el-GR"/>
        </w:rPr>
        <w:t xml:space="preserve">δημιουργήσουν στενότητα </w:t>
      </w:r>
      <w:r w:rsidRPr="00E84F92">
        <w:rPr>
          <w:rFonts w:ascii="Arial" w:hAnsi="Arial" w:cs="Arial"/>
          <w:szCs w:val="22"/>
        </w:rPr>
        <w:t>ρευστότητα</w:t>
      </w:r>
      <w:r w:rsidRPr="00E84F92">
        <w:rPr>
          <w:rFonts w:ascii="Arial" w:hAnsi="Arial" w:cs="Arial"/>
          <w:szCs w:val="22"/>
          <w:lang w:val="el-GR"/>
        </w:rPr>
        <w:t>ς</w:t>
      </w:r>
      <w:r w:rsidRPr="00E84F92">
        <w:rPr>
          <w:rFonts w:ascii="Arial" w:hAnsi="Arial" w:cs="Arial"/>
          <w:szCs w:val="22"/>
        </w:rPr>
        <w:t xml:space="preserve"> και να </w:t>
      </w:r>
      <w:r w:rsidRPr="00E84F92">
        <w:rPr>
          <w:rFonts w:ascii="Arial" w:hAnsi="Arial" w:cs="Arial"/>
          <w:szCs w:val="22"/>
          <w:lang w:val="el-GR"/>
        </w:rPr>
        <w:t>θέσουν σε κίνδυνο</w:t>
      </w:r>
      <w:r w:rsidRPr="00E84F92">
        <w:rPr>
          <w:rFonts w:ascii="Arial" w:hAnsi="Arial" w:cs="Arial"/>
          <w:szCs w:val="22"/>
        </w:rPr>
        <w:t xml:space="preserve"> τη χρηματοπιστωτική σταθερότητα.</w:t>
      </w:r>
    </w:p>
    <w:p w14:paraId="0E22E7B3"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Ωστόσο, μέτρα </w:t>
      </w:r>
      <w:r w:rsidRPr="00E84F92">
        <w:rPr>
          <w:rFonts w:ascii="Arial" w:hAnsi="Arial" w:cs="Arial"/>
          <w:szCs w:val="22"/>
          <w:lang w:val="el-GR"/>
        </w:rPr>
        <w:t xml:space="preserve">αυτής της έκτασης δυνητικά συνεπάγονται </w:t>
      </w:r>
      <w:r w:rsidRPr="00E84F92">
        <w:rPr>
          <w:rFonts w:ascii="Arial" w:hAnsi="Arial" w:cs="Arial"/>
          <w:szCs w:val="22"/>
        </w:rPr>
        <w:t>κόστος ή παρεν</w:t>
      </w:r>
      <w:r w:rsidRPr="00E84F92">
        <w:rPr>
          <w:rFonts w:ascii="Arial" w:hAnsi="Arial" w:cs="Arial"/>
          <w:szCs w:val="22"/>
          <w:lang w:val="el-GR"/>
        </w:rPr>
        <w:t>έργειες</w:t>
      </w:r>
      <w:r w:rsidRPr="00E84F92">
        <w:rPr>
          <w:rFonts w:ascii="Arial" w:hAnsi="Arial" w:cs="Arial"/>
          <w:szCs w:val="22"/>
        </w:rPr>
        <w:t xml:space="preserve"> για τις τράπεζες</w:t>
      </w:r>
      <w:r w:rsidRPr="00E84F92">
        <w:rPr>
          <w:rFonts w:ascii="Arial" w:hAnsi="Arial" w:cs="Arial"/>
          <w:szCs w:val="22"/>
          <w:lang w:val="el-GR"/>
        </w:rPr>
        <w:t>, όπως θα εξηγήσω στη</w:t>
      </w:r>
      <w:r w:rsidRPr="00E84F92">
        <w:rPr>
          <w:rFonts w:ascii="Arial" w:hAnsi="Arial" w:cs="Arial"/>
          <w:szCs w:val="22"/>
        </w:rPr>
        <w:t xml:space="preserve"> συνέχεια:</w:t>
      </w:r>
    </w:p>
    <w:p w14:paraId="6C1F746C" w14:textId="77777777" w:rsidR="00E84F92" w:rsidRPr="00E84F92" w:rsidRDefault="00E84F92" w:rsidP="00E84F92">
      <w:pPr>
        <w:pStyle w:val="BodyTextIndent3"/>
        <w:numPr>
          <w:ilvl w:val="1"/>
          <w:numId w:val="7"/>
        </w:numPr>
        <w:spacing w:before="120" w:line="360" w:lineRule="auto"/>
        <w:jc w:val="both"/>
        <w:rPr>
          <w:sz w:val="22"/>
          <w:szCs w:val="22"/>
          <w:lang w:val="el-GR"/>
        </w:rPr>
      </w:pPr>
      <w:r w:rsidRPr="00E84F92">
        <w:rPr>
          <w:i/>
          <w:sz w:val="22"/>
          <w:szCs w:val="22"/>
          <w:lang w:val="el-GR"/>
        </w:rPr>
        <w:t>Παρενέργειες από την άσκηση επεκτατικής νομισματικής πολιτικής σε ένα περιβάλλον χαμηλών επιτοκίων.</w:t>
      </w:r>
      <w:r w:rsidRPr="00E84F92">
        <w:rPr>
          <w:sz w:val="22"/>
          <w:szCs w:val="22"/>
          <w:lang w:val="el-GR"/>
        </w:rPr>
        <w:t xml:space="preserve"> Δεδομένου ότι τα επιτόκια καταθέσεων υπόκεινται σε ένα μηδενικό κατώτατο όριο,</w:t>
      </w:r>
      <w:r w:rsidRPr="00E84F92">
        <w:rPr>
          <w:rStyle w:val="FootnoteReference"/>
          <w:sz w:val="22"/>
          <w:szCs w:val="22"/>
        </w:rPr>
        <w:footnoteReference w:id="10"/>
      </w:r>
      <w:r w:rsidRPr="00E84F92">
        <w:rPr>
          <w:sz w:val="22"/>
          <w:szCs w:val="22"/>
          <w:lang w:val="el-GR"/>
        </w:rPr>
        <w:t xml:space="preserve"> η μείωση του επιτοκίου πολιτικής συνεπάγεται μικρότερο επιτοκιακό περιθώριο των τραπεζών και μειώνει την καθαρή θέση τους. Αυτή η μείωση της καθαρής θέσης των τραπεζών με τη σειρά της μπορεί να </w:t>
      </w:r>
      <w:r w:rsidRPr="00E84F92">
        <w:rPr>
          <w:sz w:val="22"/>
          <w:szCs w:val="22"/>
          <w:lang w:val="el-GR"/>
        </w:rPr>
        <w:lastRenderedPageBreak/>
        <w:t xml:space="preserve">οδηγήσει σε: α) συρρίκνωση της προσφοράς δανείων, καθώς οι τράπεζες προσπαθούν να συμμορφωθούν με τους εποπτικούς δείκτες κεφαλαιακής επάρκειας, β) χαλάρωση των πιστοδοτικών κριτηρίων και γ) αναζήτηση αποδόσεων. </w:t>
      </w:r>
    </w:p>
    <w:p w14:paraId="0DC24E7F" w14:textId="77777777" w:rsidR="00E84F92" w:rsidRPr="00E84F92" w:rsidRDefault="00E84F92" w:rsidP="00E84F92">
      <w:pPr>
        <w:pStyle w:val="P68B1DB1-BodyTextIndent33"/>
        <w:numPr>
          <w:ilvl w:val="1"/>
          <w:numId w:val="7"/>
        </w:numPr>
        <w:spacing w:before="120" w:line="360" w:lineRule="auto"/>
        <w:jc w:val="both"/>
        <w:rPr>
          <w:rFonts w:ascii="Arial" w:hAnsi="Arial" w:cs="Arial"/>
          <w:szCs w:val="22"/>
        </w:rPr>
      </w:pPr>
      <w:r w:rsidRPr="00E84F92">
        <w:rPr>
          <w:rFonts w:ascii="Arial" w:hAnsi="Arial" w:cs="Arial"/>
          <w:i/>
          <w:szCs w:val="22"/>
          <w:lang w:val="el-GR"/>
        </w:rPr>
        <w:t>Με σταθερούς τους λοιπούς παράγοντες</w:t>
      </w:r>
      <w:r w:rsidRPr="00E84F92">
        <w:rPr>
          <w:rFonts w:ascii="Arial" w:hAnsi="Arial" w:cs="Arial"/>
          <w:i/>
          <w:szCs w:val="22"/>
        </w:rPr>
        <w:t>, το παρατεταμένο περιβάλλον χαμηλών επιτοκίων επηρέασε αρνητικά την κερδοφορία των τραπεζών και απείλησε τη βιωσιμότητα του επιχειρηματικού τους μοντέλου.</w:t>
      </w:r>
      <w:r w:rsidRPr="00E84F92">
        <w:rPr>
          <w:rFonts w:ascii="Arial" w:hAnsi="Arial" w:cs="Arial"/>
          <w:szCs w:val="22"/>
        </w:rPr>
        <w:t xml:space="preserve"> Το περιβάλλον χαμηλών επιτοκίων που επικρατούσε τα προηγούμενα έτη </w:t>
      </w:r>
      <w:r w:rsidRPr="00E84F92">
        <w:rPr>
          <w:rFonts w:ascii="Arial" w:hAnsi="Arial" w:cs="Arial"/>
          <w:szCs w:val="22"/>
          <w:lang w:val="el-GR"/>
        </w:rPr>
        <w:t xml:space="preserve">έθετε προκλήσεις </w:t>
      </w:r>
      <w:r w:rsidRPr="00E84F92">
        <w:rPr>
          <w:rFonts w:ascii="Arial" w:hAnsi="Arial" w:cs="Arial"/>
          <w:szCs w:val="22"/>
        </w:rPr>
        <w:t>για τις τράπεζες και είχε ως αποτέλεσμα τη μείωση της κερδοφορίας</w:t>
      </w:r>
      <w:r w:rsidRPr="00E84F92">
        <w:rPr>
          <w:rFonts w:ascii="Arial" w:hAnsi="Arial" w:cs="Arial"/>
          <w:szCs w:val="22"/>
          <w:lang w:val="el-GR"/>
        </w:rPr>
        <w:t xml:space="preserve"> τους</w:t>
      </w:r>
      <w:r w:rsidRPr="00E84F92">
        <w:rPr>
          <w:rFonts w:ascii="Arial" w:hAnsi="Arial" w:cs="Arial"/>
          <w:szCs w:val="22"/>
        </w:rPr>
        <w:t>, ιδίως για τα μικρότερα ιδρύματα. Τα καθαρά έσοδα από τόκους αποτελούν τη σημαντικότερη πηγή ε</w:t>
      </w:r>
      <w:r w:rsidRPr="00E84F92">
        <w:rPr>
          <w:rFonts w:ascii="Arial" w:hAnsi="Arial" w:cs="Arial"/>
          <w:szCs w:val="22"/>
          <w:lang w:val="el-GR"/>
        </w:rPr>
        <w:t>ισοδήματος</w:t>
      </w:r>
      <w:r w:rsidRPr="00E84F92">
        <w:rPr>
          <w:rFonts w:ascii="Arial" w:hAnsi="Arial" w:cs="Arial"/>
          <w:szCs w:val="22"/>
        </w:rPr>
        <w:t xml:space="preserve"> για τις τράπεζες </w:t>
      </w:r>
      <w:r w:rsidRPr="00E84F92">
        <w:rPr>
          <w:rFonts w:ascii="Arial" w:hAnsi="Arial" w:cs="Arial"/>
          <w:szCs w:val="22"/>
          <w:lang w:val="el-GR"/>
        </w:rPr>
        <w:t>(και κυρίως</w:t>
      </w:r>
      <w:r w:rsidRPr="00E84F92">
        <w:rPr>
          <w:rFonts w:ascii="Arial" w:hAnsi="Arial" w:cs="Arial"/>
          <w:szCs w:val="22"/>
        </w:rPr>
        <w:t xml:space="preserve"> για </w:t>
      </w:r>
      <w:r w:rsidRPr="00E84F92">
        <w:rPr>
          <w:rFonts w:ascii="Arial" w:hAnsi="Arial" w:cs="Arial"/>
          <w:szCs w:val="22"/>
          <w:lang w:val="el-GR"/>
        </w:rPr>
        <w:t xml:space="preserve">εκείνες που λειτουργούν σύμφωνα με ένα </w:t>
      </w:r>
      <w:r w:rsidRPr="00E84F92">
        <w:rPr>
          <w:rFonts w:ascii="Arial" w:hAnsi="Arial" w:cs="Arial"/>
          <w:szCs w:val="22"/>
        </w:rPr>
        <w:t>παραδοσιακ</w:t>
      </w:r>
      <w:r w:rsidRPr="00E84F92">
        <w:rPr>
          <w:rFonts w:ascii="Arial" w:hAnsi="Arial" w:cs="Arial"/>
          <w:szCs w:val="22"/>
          <w:lang w:val="el-GR"/>
        </w:rPr>
        <w:t>ό</w:t>
      </w:r>
      <w:r w:rsidRPr="00E84F92">
        <w:rPr>
          <w:rFonts w:ascii="Arial" w:hAnsi="Arial" w:cs="Arial"/>
          <w:szCs w:val="22"/>
        </w:rPr>
        <w:t xml:space="preserve"> επιχειρηματικ</w:t>
      </w:r>
      <w:r w:rsidRPr="00E84F92">
        <w:rPr>
          <w:rFonts w:ascii="Arial" w:hAnsi="Arial" w:cs="Arial"/>
          <w:szCs w:val="22"/>
          <w:lang w:val="el-GR"/>
        </w:rPr>
        <w:t>ό</w:t>
      </w:r>
      <w:r w:rsidRPr="00E84F92">
        <w:rPr>
          <w:rFonts w:ascii="Arial" w:hAnsi="Arial" w:cs="Arial"/>
          <w:szCs w:val="22"/>
        </w:rPr>
        <w:t xml:space="preserve"> μοντέλ</w:t>
      </w:r>
      <w:r w:rsidRPr="00E84F92">
        <w:rPr>
          <w:rFonts w:ascii="Arial" w:hAnsi="Arial" w:cs="Arial"/>
          <w:szCs w:val="22"/>
          <w:lang w:val="el-GR"/>
        </w:rPr>
        <w:t>ο</w:t>
      </w:r>
      <w:r w:rsidRPr="00E84F92">
        <w:rPr>
          <w:rFonts w:ascii="Arial" w:hAnsi="Arial" w:cs="Arial"/>
          <w:szCs w:val="22"/>
        </w:rPr>
        <w:t xml:space="preserve">) και οι </w:t>
      </w:r>
      <w:r w:rsidRPr="00E84F92">
        <w:rPr>
          <w:rFonts w:ascii="Arial" w:hAnsi="Arial" w:cs="Arial"/>
          <w:szCs w:val="22"/>
          <w:lang w:val="el-GR"/>
        </w:rPr>
        <w:t xml:space="preserve">αδύναμες </w:t>
      </w:r>
      <w:r w:rsidRPr="00E84F92">
        <w:rPr>
          <w:rFonts w:ascii="Arial" w:hAnsi="Arial" w:cs="Arial"/>
          <w:szCs w:val="22"/>
        </w:rPr>
        <w:t xml:space="preserve">προοπτικές </w:t>
      </w:r>
      <w:r w:rsidRPr="00E84F92">
        <w:rPr>
          <w:rFonts w:ascii="Arial" w:hAnsi="Arial" w:cs="Arial"/>
          <w:szCs w:val="22"/>
          <w:lang w:val="el-GR"/>
        </w:rPr>
        <w:t>κερδοφορίας τους</w:t>
      </w:r>
      <w:r w:rsidRPr="00E84F92">
        <w:rPr>
          <w:rFonts w:ascii="Arial" w:hAnsi="Arial" w:cs="Arial"/>
          <w:szCs w:val="22"/>
        </w:rPr>
        <w:t xml:space="preserve"> επηρέασαν τις</w:t>
      </w:r>
      <w:r w:rsidRPr="00E84F92">
        <w:rPr>
          <w:rFonts w:ascii="Arial" w:hAnsi="Arial" w:cs="Arial"/>
          <w:szCs w:val="22"/>
          <w:lang w:val="el-GR"/>
        </w:rPr>
        <w:t xml:space="preserve"> αποτιμήσεις των μετοχών τους στην αγορά</w:t>
      </w:r>
      <w:r w:rsidRPr="00E84F92">
        <w:rPr>
          <w:rFonts w:ascii="Arial" w:hAnsi="Arial" w:cs="Arial"/>
          <w:szCs w:val="22"/>
        </w:rPr>
        <w:t xml:space="preserve">. Οι </w:t>
      </w:r>
      <w:r w:rsidRPr="00E84F92">
        <w:rPr>
          <w:rFonts w:ascii="Arial" w:hAnsi="Arial" w:cs="Arial"/>
          <w:szCs w:val="22"/>
          <w:lang w:val="el-GR"/>
        </w:rPr>
        <w:t xml:space="preserve">τιμές των μετοχών των </w:t>
      </w:r>
      <w:r w:rsidRPr="00E84F92">
        <w:rPr>
          <w:rFonts w:ascii="Arial" w:hAnsi="Arial" w:cs="Arial"/>
          <w:szCs w:val="22"/>
        </w:rPr>
        <w:t>ευρωπαϊκ</w:t>
      </w:r>
      <w:r w:rsidRPr="00E84F92">
        <w:rPr>
          <w:rFonts w:ascii="Arial" w:hAnsi="Arial" w:cs="Arial"/>
          <w:szCs w:val="22"/>
          <w:lang w:val="el-GR"/>
        </w:rPr>
        <w:t>ών</w:t>
      </w:r>
      <w:r w:rsidRPr="00E84F92">
        <w:rPr>
          <w:rFonts w:ascii="Arial" w:hAnsi="Arial" w:cs="Arial"/>
          <w:szCs w:val="22"/>
        </w:rPr>
        <w:t xml:space="preserve"> τρ</w:t>
      </w:r>
      <w:r w:rsidRPr="00E84F92">
        <w:rPr>
          <w:rFonts w:ascii="Arial" w:hAnsi="Arial" w:cs="Arial"/>
          <w:szCs w:val="22"/>
          <w:lang w:val="el-GR"/>
        </w:rPr>
        <w:t>απεζών</w:t>
      </w:r>
      <w:r w:rsidRPr="00E84F92">
        <w:rPr>
          <w:rFonts w:ascii="Arial" w:hAnsi="Arial" w:cs="Arial"/>
          <w:szCs w:val="22"/>
        </w:rPr>
        <w:t xml:space="preserve"> </w:t>
      </w:r>
      <w:r w:rsidRPr="00E84F92">
        <w:rPr>
          <w:rFonts w:ascii="Arial" w:hAnsi="Arial" w:cs="Arial"/>
          <w:szCs w:val="22"/>
          <w:lang w:val="el-GR"/>
        </w:rPr>
        <w:t xml:space="preserve">ήταν επί πολύ καιρό </w:t>
      </w:r>
      <w:r w:rsidRPr="00E84F92">
        <w:rPr>
          <w:rFonts w:ascii="Arial" w:hAnsi="Arial" w:cs="Arial"/>
          <w:szCs w:val="22"/>
        </w:rPr>
        <w:t>σημαντικά χαμηλότερ</w:t>
      </w:r>
      <w:r w:rsidRPr="00E84F92">
        <w:rPr>
          <w:rFonts w:ascii="Arial" w:hAnsi="Arial" w:cs="Arial"/>
          <w:szCs w:val="22"/>
          <w:lang w:val="el-GR"/>
        </w:rPr>
        <w:t>ες</w:t>
      </w:r>
      <w:r w:rsidRPr="00E84F92">
        <w:rPr>
          <w:rFonts w:ascii="Arial" w:hAnsi="Arial" w:cs="Arial"/>
          <w:szCs w:val="22"/>
        </w:rPr>
        <w:t xml:space="preserve"> από τη λογιστική </w:t>
      </w:r>
      <w:r w:rsidRPr="00E84F92">
        <w:rPr>
          <w:rFonts w:ascii="Arial" w:hAnsi="Arial" w:cs="Arial"/>
          <w:szCs w:val="22"/>
          <w:lang w:val="el-GR"/>
        </w:rPr>
        <w:t xml:space="preserve">τους </w:t>
      </w:r>
      <w:r w:rsidRPr="00E84F92">
        <w:rPr>
          <w:rFonts w:ascii="Arial" w:hAnsi="Arial" w:cs="Arial"/>
          <w:szCs w:val="22"/>
        </w:rPr>
        <w:t>αξία, ιδίως σε σύγκριση με τις</w:t>
      </w:r>
      <w:r w:rsidRPr="00E84F92">
        <w:rPr>
          <w:rFonts w:ascii="Arial" w:hAnsi="Arial" w:cs="Arial"/>
          <w:szCs w:val="22"/>
          <w:lang w:val="el-GR"/>
        </w:rPr>
        <w:t xml:space="preserve"> τραπεζικές μετοχές των </w:t>
      </w:r>
      <w:r w:rsidRPr="00E84F92">
        <w:rPr>
          <w:rFonts w:ascii="Arial" w:hAnsi="Arial" w:cs="Arial"/>
          <w:szCs w:val="22"/>
        </w:rPr>
        <w:t xml:space="preserve">ΗΠΑ. </w:t>
      </w:r>
    </w:p>
    <w:p w14:paraId="724A09F8" w14:textId="77777777" w:rsidR="00E84F92" w:rsidRPr="00E84F92" w:rsidRDefault="00E84F92" w:rsidP="00E84F92">
      <w:pPr>
        <w:pStyle w:val="P68B1DB1-BodyTextIndent33"/>
        <w:numPr>
          <w:ilvl w:val="0"/>
          <w:numId w:val="8"/>
        </w:numPr>
        <w:spacing w:before="120" w:line="360" w:lineRule="auto"/>
        <w:jc w:val="both"/>
        <w:rPr>
          <w:rFonts w:ascii="Arial" w:hAnsi="Arial" w:cs="Arial"/>
          <w:szCs w:val="22"/>
        </w:rPr>
      </w:pPr>
      <w:r w:rsidRPr="00E84F92">
        <w:rPr>
          <w:rFonts w:ascii="Arial" w:hAnsi="Arial" w:cs="Arial"/>
          <w:i/>
          <w:szCs w:val="22"/>
        </w:rPr>
        <w:t>Η άφθονη ρευστότητα</w:t>
      </w:r>
      <w:r w:rsidRPr="00E84F92">
        <w:rPr>
          <w:rFonts w:ascii="Arial" w:hAnsi="Arial" w:cs="Arial"/>
          <w:i/>
          <w:szCs w:val="22"/>
          <w:lang w:val="el-GR"/>
        </w:rPr>
        <w:t>,</w:t>
      </w:r>
      <w:r w:rsidRPr="00E84F92">
        <w:rPr>
          <w:rFonts w:ascii="Arial" w:hAnsi="Arial" w:cs="Arial"/>
          <w:i/>
          <w:szCs w:val="22"/>
        </w:rPr>
        <w:t xml:space="preserve"> σε συνδυασμό με το χαμηλό κόστος χρηματοδότησης για παρατεταμένη περίοδο</w:t>
      </w:r>
      <w:r w:rsidRPr="00E84F92">
        <w:rPr>
          <w:rFonts w:ascii="Arial" w:hAnsi="Arial" w:cs="Arial"/>
          <w:i/>
          <w:szCs w:val="22"/>
          <w:lang w:val="el-GR"/>
        </w:rPr>
        <w:t>,</w:t>
      </w:r>
      <w:r w:rsidRPr="00E84F92">
        <w:rPr>
          <w:rFonts w:ascii="Arial" w:hAnsi="Arial" w:cs="Arial"/>
          <w:i/>
          <w:szCs w:val="22"/>
        </w:rPr>
        <w:t xml:space="preserve"> αύξησε τη μόχλευση των μη χρηματοπιστωτικών επιχειρήσεων και των νοικοκυριών.</w:t>
      </w:r>
      <w:r w:rsidRPr="00E84F92">
        <w:rPr>
          <w:rFonts w:ascii="Arial" w:hAnsi="Arial" w:cs="Arial"/>
          <w:szCs w:val="22"/>
        </w:rPr>
        <w:t xml:space="preserve"> Η αυξημένη μόχλευση</w:t>
      </w:r>
      <w:r w:rsidRPr="00E84F92">
        <w:rPr>
          <w:rFonts w:ascii="Arial" w:hAnsi="Arial" w:cs="Arial"/>
          <w:szCs w:val="22"/>
          <w:lang w:val="el-GR"/>
        </w:rPr>
        <w:t>,</w:t>
      </w:r>
      <w:r w:rsidRPr="00E84F92">
        <w:rPr>
          <w:rFonts w:ascii="Arial" w:hAnsi="Arial" w:cs="Arial"/>
          <w:szCs w:val="22"/>
        </w:rPr>
        <w:t xml:space="preserve"> </w:t>
      </w:r>
      <w:r w:rsidRPr="00E84F92">
        <w:rPr>
          <w:rFonts w:ascii="Arial" w:hAnsi="Arial" w:cs="Arial"/>
          <w:szCs w:val="22"/>
          <w:lang w:val="el-GR"/>
        </w:rPr>
        <w:t>όταν συνοδεύεται από χαλάρωση των πιστοδοτικών κριτηρίων, μπορ</w:t>
      </w:r>
      <w:r w:rsidRPr="00E84F92">
        <w:rPr>
          <w:rFonts w:ascii="Arial" w:hAnsi="Arial" w:cs="Arial"/>
          <w:szCs w:val="22"/>
        </w:rPr>
        <w:t>εί να ενισχύσει τον αντίκτυπο της επιδείνωσης των χρηματο</w:t>
      </w:r>
      <w:r w:rsidRPr="00E84F92">
        <w:rPr>
          <w:rFonts w:ascii="Arial" w:hAnsi="Arial" w:cs="Arial"/>
          <w:szCs w:val="22"/>
          <w:lang w:val="el-GR"/>
        </w:rPr>
        <w:t>πιστωτικών</w:t>
      </w:r>
      <w:r w:rsidRPr="00E84F92">
        <w:rPr>
          <w:rFonts w:ascii="Arial" w:hAnsi="Arial" w:cs="Arial"/>
          <w:szCs w:val="22"/>
        </w:rPr>
        <w:t xml:space="preserve"> συνθηκών για τις μη χρηματοπιστωτικές επιχειρήσεις και τα νοικοκυριά, καθώς και του αυξημένου κόστους χρηματοδότησης</w:t>
      </w:r>
      <w:r w:rsidRPr="00E84F92">
        <w:rPr>
          <w:rFonts w:ascii="Arial" w:hAnsi="Arial" w:cs="Arial"/>
          <w:szCs w:val="22"/>
          <w:lang w:val="el-GR"/>
        </w:rPr>
        <w:t>,</w:t>
      </w:r>
      <w:r w:rsidRPr="00E84F92">
        <w:rPr>
          <w:rFonts w:ascii="Arial" w:hAnsi="Arial" w:cs="Arial"/>
          <w:szCs w:val="22"/>
        </w:rPr>
        <w:t xml:space="preserve"> στην ποιότητα των στοιχείων </w:t>
      </w:r>
      <w:r w:rsidRPr="00E84F92">
        <w:rPr>
          <w:rFonts w:ascii="Arial" w:hAnsi="Arial" w:cs="Arial"/>
          <w:szCs w:val="22"/>
          <w:lang w:val="el-GR"/>
        </w:rPr>
        <w:t xml:space="preserve">ενεργητικού </w:t>
      </w:r>
      <w:r w:rsidRPr="00E84F92">
        <w:rPr>
          <w:rFonts w:ascii="Arial" w:hAnsi="Arial" w:cs="Arial"/>
          <w:szCs w:val="22"/>
        </w:rPr>
        <w:t>των τραπεζών</w:t>
      </w:r>
      <w:r w:rsidRPr="00E84F92">
        <w:rPr>
          <w:rFonts w:ascii="Arial" w:hAnsi="Arial" w:cs="Arial"/>
          <w:szCs w:val="22"/>
          <w:lang w:val="el-GR"/>
        </w:rPr>
        <w:t xml:space="preserve"> κατά τη</w:t>
      </w:r>
      <w:r w:rsidRPr="00E84F92">
        <w:rPr>
          <w:rFonts w:ascii="Arial" w:hAnsi="Arial" w:cs="Arial"/>
          <w:szCs w:val="22"/>
        </w:rPr>
        <w:t xml:space="preserve">ν τρέχουσα συγκυρία περιοριστικής νομισματικής πολιτικής και </w:t>
      </w:r>
      <w:r w:rsidRPr="00E84F92">
        <w:rPr>
          <w:rFonts w:ascii="Arial" w:hAnsi="Arial" w:cs="Arial"/>
          <w:szCs w:val="22"/>
          <w:lang w:val="el-GR"/>
        </w:rPr>
        <w:t>επιβράδυνσης</w:t>
      </w:r>
      <w:r w:rsidRPr="00E84F92">
        <w:rPr>
          <w:rFonts w:ascii="Arial" w:hAnsi="Arial" w:cs="Arial"/>
          <w:szCs w:val="22"/>
        </w:rPr>
        <w:t xml:space="preserve"> της ανάπτυξης. </w:t>
      </w:r>
    </w:p>
    <w:p w14:paraId="1D6D52E7" w14:textId="77777777" w:rsidR="00E84F92" w:rsidRPr="00E84F92" w:rsidRDefault="00E84F92" w:rsidP="00E84F92">
      <w:pPr>
        <w:pStyle w:val="P68B1DB1-BodyTextIndent33"/>
        <w:numPr>
          <w:ilvl w:val="0"/>
          <w:numId w:val="8"/>
        </w:numPr>
        <w:spacing w:before="120" w:line="360" w:lineRule="auto"/>
        <w:jc w:val="both"/>
        <w:rPr>
          <w:rFonts w:ascii="Arial" w:hAnsi="Arial" w:cs="Arial"/>
          <w:szCs w:val="22"/>
        </w:rPr>
      </w:pPr>
      <w:r w:rsidRPr="00E84F92">
        <w:rPr>
          <w:rFonts w:ascii="Arial" w:hAnsi="Arial" w:cs="Arial"/>
          <w:i/>
          <w:szCs w:val="22"/>
        </w:rPr>
        <w:t xml:space="preserve">Το περιβάλλον χαμηλών επιτοκίων </w:t>
      </w:r>
      <w:r w:rsidRPr="00E84F92">
        <w:rPr>
          <w:rFonts w:ascii="Arial" w:hAnsi="Arial" w:cs="Arial"/>
          <w:i/>
          <w:szCs w:val="22"/>
          <w:lang w:val="el-GR"/>
        </w:rPr>
        <w:t>ώθησε</w:t>
      </w:r>
      <w:r w:rsidRPr="00E84F92">
        <w:rPr>
          <w:rFonts w:ascii="Arial" w:hAnsi="Arial" w:cs="Arial"/>
          <w:i/>
          <w:szCs w:val="22"/>
        </w:rPr>
        <w:t xml:space="preserve"> </w:t>
      </w:r>
      <w:r w:rsidRPr="00E84F92">
        <w:rPr>
          <w:rFonts w:ascii="Arial" w:hAnsi="Arial" w:cs="Arial"/>
          <w:i/>
          <w:szCs w:val="22"/>
          <w:lang w:val="el-GR"/>
        </w:rPr>
        <w:t xml:space="preserve">τόσο τους επενδυτές </w:t>
      </w:r>
      <w:r w:rsidRPr="00E84F92">
        <w:rPr>
          <w:rFonts w:ascii="Arial" w:hAnsi="Arial" w:cs="Arial"/>
          <w:i/>
          <w:szCs w:val="22"/>
        </w:rPr>
        <w:t xml:space="preserve">όσο και τα χρηματοπιστωτικά ιδρύματα </w:t>
      </w:r>
      <w:r w:rsidRPr="00E84F92">
        <w:rPr>
          <w:rFonts w:ascii="Arial" w:hAnsi="Arial" w:cs="Arial"/>
          <w:i/>
          <w:szCs w:val="22"/>
          <w:lang w:val="el-GR"/>
        </w:rPr>
        <w:t>να αναζητήσουν υψηλότερες</w:t>
      </w:r>
      <w:r w:rsidRPr="00E84F92">
        <w:rPr>
          <w:rFonts w:ascii="Arial" w:hAnsi="Arial" w:cs="Arial"/>
          <w:i/>
          <w:szCs w:val="22"/>
        </w:rPr>
        <w:t xml:space="preserve"> αποδόσεις, με αποτέλεσμα </w:t>
      </w:r>
      <w:r w:rsidRPr="00E84F92">
        <w:rPr>
          <w:rFonts w:ascii="Arial" w:hAnsi="Arial" w:cs="Arial"/>
          <w:i/>
          <w:szCs w:val="22"/>
          <w:lang w:val="el-GR"/>
        </w:rPr>
        <w:t>να μειωθούν</w:t>
      </w:r>
      <w:r w:rsidRPr="00E84F92">
        <w:rPr>
          <w:rFonts w:ascii="Arial" w:hAnsi="Arial" w:cs="Arial"/>
          <w:i/>
          <w:szCs w:val="22"/>
        </w:rPr>
        <w:t xml:space="preserve"> </w:t>
      </w:r>
      <w:r w:rsidRPr="00E84F92">
        <w:rPr>
          <w:rFonts w:ascii="Arial" w:hAnsi="Arial" w:cs="Arial"/>
          <w:i/>
          <w:szCs w:val="22"/>
          <w:lang w:val="el-GR"/>
        </w:rPr>
        <w:t>τα ασφάλιστρα</w:t>
      </w:r>
      <w:r w:rsidRPr="00E84F92">
        <w:rPr>
          <w:rFonts w:ascii="Arial" w:hAnsi="Arial" w:cs="Arial"/>
          <w:i/>
          <w:szCs w:val="22"/>
        </w:rPr>
        <w:t xml:space="preserve"> πιστωτικού κινδύνου και </w:t>
      </w:r>
      <w:r w:rsidRPr="00E84F92">
        <w:rPr>
          <w:rFonts w:ascii="Arial" w:hAnsi="Arial" w:cs="Arial"/>
          <w:i/>
          <w:szCs w:val="22"/>
          <w:lang w:val="el-GR"/>
        </w:rPr>
        <w:t>να αυξηθούν οι</w:t>
      </w:r>
      <w:r w:rsidRPr="00E84F92">
        <w:rPr>
          <w:rFonts w:ascii="Arial" w:hAnsi="Arial" w:cs="Arial"/>
          <w:i/>
          <w:szCs w:val="22"/>
        </w:rPr>
        <w:t xml:space="preserve"> </w:t>
      </w:r>
      <w:r w:rsidRPr="00E84F92">
        <w:rPr>
          <w:rFonts w:ascii="Arial" w:hAnsi="Arial" w:cs="Arial"/>
          <w:i/>
          <w:szCs w:val="22"/>
          <w:lang w:val="el-GR"/>
        </w:rPr>
        <w:t>ασυμφωνίες</w:t>
      </w:r>
      <w:r w:rsidRPr="00E84F92">
        <w:rPr>
          <w:rFonts w:ascii="Arial" w:hAnsi="Arial" w:cs="Arial"/>
          <w:i/>
          <w:szCs w:val="22"/>
        </w:rPr>
        <w:t xml:space="preserve"> ληκτότητα</w:t>
      </w:r>
      <w:r w:rsidRPr="00E84F92">
        <w:rPr>
          <w:rFonts w:ascii="Arial" w:hAnsi="Arial" w:cs="Arial"/>
          <w:i/>
          <w:szCs w:val="22"/>
          <w:lang w:val="el-GR"/>
        </w:rPr>
        <w:t>ς απαιτήσεων-υποχρεώσεων</w:t>
      </w:r>
      <w:r w:rsidRPr="00E84F92">
        <w:rPr>
          <w:rFonts w:ascii="Arial" w:hAnsi="Arial" w:cs="Arial"/>
          <w:szCs w:val="22"/>
        </w:rPr>
        <w:t xml:space="preserve">. Η </w:t>
      </w:r>
      <w:r w:rsidRPr="00E84F92">
        <w:rPr>
          <w:rFonts w:ascii="Arial" w:hAnsi="Arial" w:cs="Arial"/>
          <w:szCs w:val="22"/>
          <w:lang w:val="el-GR"/>
        </w:rPr>
        <w:t xml:space="preserve">συμπίεση </w:t>
      </w:r>
      <w:r w:rsidRPr="00E84F92">
        <w:rPr>
          <w:rFonts w:ascii="Arial" w:hAnsi="Arial" w:cs="Arial"/>
          <w:szCs w:val="22"/>
        </w:rPr>
        <w:t xml:space="preserve">των ασφαλίστρων κινδύνου </w:t>
      </w:r>
      <w:r w:rsidRPr="00E84F92">
        <w:rPr>
          <w:rFonts w:ascii="Arial" w:hAnsi="Arial" w:cs="Arial"/>
          <w:szCs w:val="22"/>
          <w:lang w:val="el-GR"/>
        </w:rPr>
        <w:t xml:space="preserve">ήταν δυνατόν να </w:t>
      </w:r>
      <w:r w:rsidRPr="00E84F92">
        <w:rPr>
          <w:rFonts w:ascii="Arial" w:hAnsi="Arial" w:cs="Arial"/>
          <w:szCs w:val="22"/>
        </w:rPr>
        <w:t>ενθ</w:t>
      </w:r>
      <w:r w:rsidRPr="00E84F92">
        <w:rPr>
          <w:rFonts w:ascii="Arial" w:hAnsi="Arial" w:cs="Arial"/>
          <w:szCs w:val="22"/>
          <w:lang w:val="el-GR"/>
        </w:rPr>
        <w:t xml:space="preserve">αρρύνει </w:t>
      </w:r>
      <w:r w:rsidRPr="00E84F92">
        <w:rPr>
          <w:rFonts w:ascii="Arial" w:hAnsi="Arial" w:cs="Arial"/>
          <w:szCs w:val="22"/>
        </w:rPr>
        <w:t xml:space="preserve">περαιτέρω τη μόχλευση, </w:t>
      </w:r>
      <w:r w:rsidRPr="00E84F92">
        <w:rPr>
          <w:rFonts w:ascii="Arial" w:hAnsi="Arial" w:cs="Arial"/>
          <w:szCs w:val="22"/>
          <w:lang w:val="el-GR"/>
        </w:rPr>
        <w:t xml:space="preserve">να εμποδίσει </w:t>
      </w:r>
      <w:r w:rsidRPr="00E84F92">
        <w:rPr>
          <w:rFonts w:ascii="Arial" w:hAnsi="Arial" w:cs="Arial"/>
          <w:szCs w:val="22"/>
        </w:rPr>
        <w:t>την αποτελεσματική κατανομή τ</w:t>
      </w:r>
      <w:r w:rsidRPr="00E84F92">
        <w:rPr>
          <w:rFonts w:ascii="Arial" w:hAnsi="Arial" w:cs="Arial"/>
          <w:szCs w:val="22"/>
          <w:lang w:val="el-GR"/>
        </w:rPr>
        <w:t>ων χρηματοδοτικών πόρων</w:t>
      </w:r>
      <w:r w:rsidRPr="00E84F92">
        <w:rPr>
          <w:rFonts w:ascii="Arial" w:hAnsi="Arial" w:cs="Arial"/>
          <w:szCs w:val="22"/>
        </w:rPr>
        <w:t xml:space="preserve"> και </w:t>
      </w:r>
      <w:r w:rsidRPr="00E84F92">
        <w:rPr>
          <w:rFonts w:ascii="Arial" w:hAnsi="Arial" w:cs="Arial"/>
          <w:szCs w:val="22"/>
          <w:lang w:val="el-GR"/>
        </w:rPr>
        <w:t xml:space="preserve">να μετριάσει </w:t>
      </w:r>
      <w:r w:rsidRPr="00E84F92">
        <w:rPr>
          <w:rFonts w:ascii="Arial" w:hAnsi="Arial" w:cs="Arial"/>
          <w:szCs w:val="22"/>
        </w:rPr>
        <w:t xml:space="preserve">τη </w:t>
      </w:r>
      <w:r w:rsidRPr="00E84F92">
        <w:rPr>
          <w:rFonts w:ascii="Arial" w:hAnsi="Arial" w:cs="Arial"/>
          <w:szCs w:val="22"/>
          <w:lang w:val="el-GR"/>
        </w:rPr>
        <w:t>“</w:t>
      </w:r>
      <w:r w:rsidRPr="00E84F92">
        <w:rPr>
          <w:rFonts w:ascii="Arial" w:hAnsi="Arial" w:cs="Arial"/>
          <w:szCs w:val="22"/>
        </w:rPr>
        <w:t>δημιουργική καταστροφή</w:t>
      </w:r>
      <w:r w:rsidRPr="00E84F92">
        <w:rPr>
          <w:rFonts w:ascii="Arial" w:hAnsi="Arial" w:cs="Arial"/>
          <w:szCs w:val="22"/>
          <w:lang w:val="el-GR"/>
        </w:rPr>
        <w:t>”</w:t>
      </w:r>
      <w:r w:rsidRPr="00E84F92">
        <w:rPr>
          <w:rFonts w:ascii="Arial" w:hAnsi="Arial" w:cs="Arial"/>
          <w:szCs w:val="22"/>
        </w:rPr>
        <w:t xml:space="preserve"> </w:t>
      </w:r>
      <w:r w:rsidRPr="00E84F92">
        <w:rPr>
          <w:rFonts w:ascii="Arial" w:hAnsi="Arial" w:cs="Arial"/>
          <w:szCs w:val="22"/>
          <w:lang w:val="el-GR"/>
        </w:rPr>
        <w:t>(</w:t>
      </w:r>
      <w:r w:rsidRPr="00E84F92">
        <w:rPr>
          <w:rFonts w:ascii="Arial" w:hAnsi="Arial" w:cs="Arial"/>
          <w:i/>
          <w:iCs/>
          <w:szCs w:val="22"/>
          <w:lang w:val="en-US"/>
        </w:rPr>
        <w:t>creative</w:t>
      </w:r>
      <w:r w:rsidRPr="00E84F92">
        <w:rPr>
          <w:rFonts w:ascii="Arial" w:hAnsi="Arial" w:cs="Arial"/>
          <w:i/>
          <w:iCs/>
          <w:szCs w:val="22"/>
          <w:lang w:val="el-GR"/>
        </w:rPr>
        <w:t xml:space="preserve"> </w:t>
      </w:r>
      <w:r w:rsidRPr="00E84F92">
        <w:rPr>
          <w:rFonts w:ascii="Arial" w:hAnsi="Arial" w:cs="Arial"/>
          <w:i/>
          <w:iCs/>
          <w:szCs w:val="22"/>
          <w:lang w:val="en-US"/>
        </w:rPr>
        <w:t>destruction</w:t>
      </w:r>
      <w:r w:rsidRPr="00E84F92">
        <w:rPr>
          <w:rFonts w:ascii="Arial" w:hAnsi="Arial" w:cs="Arial"/>
          <w:szCs w:val="22"/>
          <w:lang w:val="el-GR"/>
        </w:rPr>
        <w:t xml:space="preserve">) </w:t>
      </w:r>
      <w:r w:rsidRPr="00E84F92">
        <w:rPr>
          <w:rFonts w:ascii="Arial" w:hAnsi="Arial" w:cs="Arial"/>
          <w:szCs w:val="22"/>
        </w:rPr>
        <w:t>με τη μορφή πτωχεύσεων και αναδιαρθρώσεων</w:t>
      </w:r>
      <w:r w:rsidRPr="00E84F92">
        <w:rPr>
          <w:rFonts w:ascii="Arial" w:hAnsi="Arial" w:cs="Arial"/>
          <w:szCs w:val="22"/>
          <w:lang w:val="el-GR"/>
        </w:rPr>
        <w:t xml:space="preserve"> στον επιχειρηματικό τομέα</w:t>
      </w:r>
      <w:r w:rsidRPr="00E84F92">
        <w:rPr>
          <w:rFonts w:ascii="Arial" w:hAnsi="Arial" w:cs="Arial"/>
          <w:szCs w:val="22"/>
        </w:rPr>
        <w:t xml:space="preserve">. Πρόσφατα στοιχεία σε πολλές χώρες δείχνουν </w:t>
      </w:r>
      <w:r w:rsidRPr="00E84F92">
        <w:rPr>
          <w:rFonts w:ascii="Arial" w:hAnsi="Arial" w:cs="Arial"/>
          <w:szCs w:val="22"/>
          <w:lang w:val="el-GR"/>
        </w:rPr>
        <w:t xml:space="preserve">αύξηση </w:t>
      </w:r>
      <w:r w:rsidRPr="00E84F92">
        <w:rPr>
          <w:rFonts w:ascii="Arial" w:hAnsi="Arial" w:cs="Arial"/>
          <w:szCs w:val="22"/>
        </w:rPr>
        <w:t xml:space="preserve">των </w:t>
      </w:r>
      <w:r w:rsidRPr="00E84F92">
        <w:rPr>
          <w:rFonts w:ascii="Arial" w:hAnsi="Arial" w:cs="Arial"/>
          <w:szCs w:val="22"/>
          <w:lang w:val="el-GR"/>
        </w:rPr>
        <w:t>περιπτώσεων</w:t>
      </w:r>
      <w:r w:rsidRPr="00E84F92">
        <w:rPr>
          <w:rFonts w:ascii="Arial" w:hAnsi="Arial" w:cs="Arial"/>
          <w:szCs w:val="22"/>
        </w:rPr>
        <w:t xml:space="preserve"> αφερεγγυότητας και </w:t>
      </w:r>
      <w:r w:rsidRPr="00E84F92">
        <w:rPr>
          <w:rFonts w:ascii="Arial" w:hAnsi="Arial" w:cs="Arial"/>
          <w:szCs w:val="22"/>
          <w:lang w:val="el-GR"/>
        </w:rPr>
        <w:t>πολλοί</w:t>
      </w:r>
      <w:r w:rsidRPr="00E84F92">
        <w:rPr>
          <w:rFonts w:ascii="Arial" w:hAnsi="Arial" w:cs="Arial"/>
          <w:szCs w:val="22"/>
        </w:rPr>
        <w:t xml:space="preserve"> αναλυτές υποστηρίζουν ότι το περιβάλλον χαμηλών επιτοκίων σε συνδυασμό με </w:t>
      </w:r>
      <w:r w:rsidRPr="00E84F92">
        <w:rPr>
          <w:rFonts w:ascii="Arial" w:hAnsi="Arial" w:cs="Arial"/>
          <w:szCs w:val="22"/>
        </w:rPr>
        <w:lastRenderedPageBreak/>
        <w:t xml:space="preserve">την πανδημία και τα μέτρα στήριξης </w:t>
      </w:r>
      <w:r w:rsidRPr="00E84F92">
        <w:rPr>
          <w:rFonts w:ascii="Arial" w:hAnsi="Arial" w:cs="Arial"/>
          <w:szCs w:val="22"/>
          <w:lang w:val="el-GR"/>
        </w:rPr>
        <w:t>έναντι της ενεργειακής κρίσης</w:t>
      </w:r>
      <w:r w:rsidRPr="00E84F92">
        <w:rPr>
          <w:rFonts w:ascii="Arial" w:hAnsi="Arial" w:cs="Arial"/>
          <w:szCs w:val="22"/>
        </w:rPr>
        <w:t xml:space="preserve"> εμπόδισ</w:t>
      </w:r>
      <w:r w:rsidRPr="00E84F92">
        <w:rPr>
          <w:rFonts w:ascii="Arial" w:hAnsi="Arial" w:cs="Arial"/>
          <w:szCs w:val="22"/>
          <w:lang w:val="el-GR"/>
        </w:rPr>
        <w:t xml:space="preserve">αν την έξοδο των </w:t>
      </w:r>
      <w:r w:rsidRPr="00E84F92">
        <w:rPr>
          <w:rFonts w:ascii="Arial" w:hAnsi="Arial" w:cs="Arial"/>
          <w:szCs w:val="22"/>
        </w:rPr>
        <w:t xml:space="preserve">λεγόμενων </w:t>
      </w:r>
      <w:r w:rsidRPr="00E84F92">
        <w:rPr>
          <w:rFonts w:ascii="Arial" w:hAnsi="Arial" w:cs="Arial"/>
          <w:szCs w:val="22"/>
          <w:lang w:val="el-GR"/>
        </w:rPr>
        <w:t>επιχειρήσεων</w:t>
      </w:r>
      <w:r w:rsidRPr="00E84F92">
        <w:rPr>
          <w:rFonts w:ascii="Arial" w:hAnsi="Arial" w:cs="Arial"/>
          <w:szCs w:val="22"/>
        </w:rPr>
        <w:t xml:space="preserve"> </w:t>
      </w:r>
      <w:r w:rsidRPr="00E84F92">
        <w:rPr>
          <w:rFonts w:ascii="Arial" w:hAnsi="Arial" w:cs="Arial"/>
          <w:szCs w:val="22"/>
          <w:lang w:val="el-GR"/>
        </w:rPr>
        <w:t>“</w:t>
      </w:r>
      <w:r w:rsidRPr="00E84F92">
        <w:rPr>
          <w:rFonts w:ascii="Arial" w:hAnsi="Arial" w:cs="Arial"/>
          <w:szCs w:val="22"/>
        </w:rPr>
        <w:t>ζόμπι</w:t>
      </w:r>
      <w:r w:rsidRPr="00E84F92">
        <w:rPr>
          <w:rFonts w:ascii="Arial" w:hAnsi="Arial" w:cs="Arial"/>
          <w:szCs w:val="22"/>
          <w:lang w:val="el-GR"/>
        </w:rPr>
        <w:t>” από την αγορά</w:t>
      </w:r>
      <w:r w:rsidRPr="00E84F92">
        <w:rPr>
          <w:rFonts w:ascii="Arial" w:hAnsi="Arial" w:cs="Arial"/>
          <w:szCs w:val="22"/>
        </w:rPr>
        <w:t>.</w:t>
      </w:r>
    </w:p>
    <w:p w14:paraId="0612194D" w14:textId="77777777" w:rsidR="00E84F92" w:rsidRPr="00E84F92" w:rsidRDefault="00E84F92" w:rsidP="00E84F92">
      <w:pPr>
        <w:pStyle w:val="P68B1DB1-BodyTextIndent33"/>
        <w:numPr>
          <w:ilvl w:val="0"/>
          <w:numId w:val="8"/>
        </w:numPr>
        <w:spacing w:before="120" w:line="360" w:lineRule="auto"/>
        <w:jc w:val="both"/>
        <w:rPr>
          <w:rFonts w:ascii="Arial" w:hAnsi="Arial" w:cs="Arial"/>
          <w:szCs w:val="22"/>
        </w:rPr>
      </w:pPr>
      <w:r w:rsidRPr="00E84F92">
        <w:rPr>
          <w:rFonts w:ascii="Arial" w:hAnsi="Arial" w:cs="Arial"/>
          <w:i/>
          <w:szCs w:val="22"/>
          <w:lang w:val="el-GR"/>
        </w:rPr>
        <w:t>Ο μη τραπεζικός χρηματοπιστωτικός τομέας αυξήθηκε σημαντικά τόσο σε μέγεθος όσο και σε σπουδαιότητα</w:t>
      </w:r>
      <w:r w:rsidRPr="00E84F92">
        <w:rPr>
          <w:rFonts w:ascii="Arial" w:hAnsi="Arial" w:cs="Arial"/>
          <w:szCs w:val="22"/>
        </w:rPr>
        <w:t xml:space="preserve">. Ομοίως, η άφθονη ρευστότητα και η αναζήτηση </w:t>
      </w:r>
      <w:r w:rsidRPr="00E84F92">
        <w:rPr>
          <w:rFonts w:ascii="Arial" w:hAnsi="Arial" w:cs="Arial"/>
          <w:szCs w:val="22"/>
          <w:lang w:val="el-GR"/>
        </w:rPr>
        <w:t xml:space="preserve">αποδόσεων εκ μέρους </w:t>
      </w:r>
      <w:r w:rsidRPr="00E84F92">
        <w:rPr>
          <w:rFonts w:ascii="Arial" w:hAnsi="Arial" w:cs="Arial"/>
          <w:szCs w:val="22"/>
        </w:rPr>
        <w:t xml:space="preserve">των επενδυτών συνέβαλαν στην </w:t>
      </w:r>
      <w:r w:rsidRPr="00E84F92">
        <w:rPr>
          <w:rFonts w:ascii="Arial" w:hAnsi="Arial" w:cs="Arial"/>
          <w:szCs w:val="22"/>
          <w:lang w:val="el-GR"/>
        </w:rPr>
        <w:t>ανάπτυξη</w:t>
      </w:r>
      <w:r w:rsidRPr="00E84F92">
        <w:rPr>
          <w:rFonts w:ascii="Arial" w:hAnsi="Arial" w:cs="Arial"/>
          <w:szCs w:val="22"/>
        </w:rPr>
        <w:t xml:space="preserve"> του μη τραπεζικού χρηματοπιστωτικού τομέα και στην αύξηση της</w:t>
      </w:r>
      <w:bookmarkStart w:id="0" w:name="_GoBack"/>
      <w:bookmarkEnd w:id="0"/>
      <w:r w:rsidRPr="00E84F92">
        <w:rPr>
          <w:rFonts w:ascii="Arial" w:hAnsi="Arial" w:cs="Arial"/>
          <w:szCs w:val="22"/>
        </w:rPr>
        <w:t xml:space="preserve"> μόχλευσ</w:t>
      </w:r>
      <w:r w:rsidRPr="00E84F92">
        <w:rPr>
          <w:rFonts w:ascii="Arial" w:hAnsi="Arial" w:cs="Arial"/>
          <w:szCs w:val="22"/>
          <w:lang w:val="el-GR"/>
        </w:rPr>
        <w:t>ή</w:t>
      </w:r>
      <w:r w:rsidRPr="00E84F92">
        <w:rPr>
          <w:rFonts w:ascii="Arial" w:hAnsi="Arial" w:cs="Arial"/>
          <w:szCs w:val="22"/>
        </w:rPr>
        <w:t>ς του</w:t>
      </w:r>
      <w:r w:rsidRPr="00E84F92">
        <w:rPr>
          <w:rFonts w:ascii="Arial" w:hAnsi="Arial" w:cs="Arial"/>
          <w:szCs w:val="22"/>
          <w:lang w:val="el-GR"/>
        </w:rPr>
        <w:t xml:space="preserve">, με αποτέλεσμα να αυξηθεί </w:t>
      </w:r>
      <w:r w:rsidRPr="00E84F92">
        <w:rPr>
          <w:rFonts w:ascii="Arial" w:hAnsi="Arial" w:cs="Arial"/>
          <w:szCs w:val="22"/>
        </w:rPr>
        <w:t xml:space="preserve">ο κίνδυνος μετάδοσης </w:t>
      </w:r>
      <w:r w:rsidRPr="00E84F92">
        <w:rPr>
          <w:rFonts w:ascii="Arial" w:hAnsi="Arial" w:cs="Arial"/>
          <w:szCs w:val="22"/>
          <w:lang w:val="el-GR"/>
        </w:rPr>
        <w:t>διαταραχών (</w:t>
      </w:r>
      <w:r w:rsidRPr="00E84F92">
        <w:rPr>
          <w:rFonts w:ascii="Arial" w:hAnsi="Arial" w:cs="Arial"/>
          <w:szCs w:val="22"/>
          <w:lang w:val="en-US"/>
        </w:rPr>
        <w:t>contagion</w:t>
      </w:r>
      <w:r w:rsidRPr="00E84F92">
        <w:rPr>
          <w:rFonts w:ascii="Arial" w:hAnsi="Arial" w:cs="Arial"/>
          <w:szCs w:val="22"/>
          <w:lang w:val="el-GR"/>
        </w:rPr>
        <w:t xml:space="preserve"> </w:t>
      </w:r>
      <w:r w:rsidRPr="00E84F92">
        <w:rPr>
          <w:rFonts w:ascii="Arial" w:hAnsi="Arial" w:cs="Arial"/>
          <w:szCs w:val="22"/>
          <w:lang w:val="en-US"/>
        </w:rPr>
        <w:t>risk</w:t>
      </w:r>
      <w:r w:rsidRPr="00E84F92">
        <w:rPr>
          <w:rFonts w:ascii="Arial" w:hAnsi="Arial" w:cs="Arial"/>
          <w:szCs w:val="22"/>
          <w:lang w:val="el-GR"/>
        </w:rPr>
        <w:t>)</w:t>
      </w:r>
      <w:r w:rsidRPr="00E84F92">
        <w:rPr>
          <w:rFonts w:ascii="Arial" w:hAnsi="Arial" w:cs="Arial"/>
          <w:szCs w:val="22"/>
        </w:rPr>
        <w:t xml:space="preserve">. </w:t>
      </w:r>
      <w:r w:rsidRPr="00E84F92">
        <w:rPr>
          <w:rFonts w:ascii="Arial" w:hAnsi="Arial" w:cs="Arial"/>
          <w:szCs w:val="22"/>
          <w:lang w:val="el-GR"/>
        </w:rPr>
        <w:t xml:space="preserve">Ως γνωστόν, </w:t>
      </w:r>
      <w:r w:rsidRPr="00E84F92">
        <w:rPr>
          <w:rFonts w:ascii="Arial" w:hAnsi="Arial" w:cs="Arial"/>
          <w:szCs w:val="22"/>
        </w:rPr>
        <w:t xml:space="preserve">ο μη τραπεζικός χρηματοπιστωτικός τομέας δεν </w:t>
      </w:r>
      <w:r w:rsidRPr="00E84F92">
        <w:rPr>
          <w:rFonts w:ascii="Arial" w:hAnsi="Arial" w:cs="Arial"/>
          <w:szCs w:val="22"/>
          <w:lang w:val="el-GR"/>
        </w:rPr>
        <w:t>υπόκειται σε τόσο αυστηρό θεσμικό και εποπτικό πλαίσιο</w:t>
      </w:r>
      <w:r w:rsidRPr="00E84F92">
        <w:rPr>
          <w:rFonts w:ascii="Arial" w:hAnsi="Arial" w:cs="Arial"/>
          <w:szCs w:val="22"/>
        </w:rPr>
        <w:t xml:space="preserve"> όσο ο τραπεζικός τομέας</w:t>
      </w:r>
      <w:r w:rsidRPr="00E84F92">
        <w:rPr>
          <w:rFonts w:ascii="Arial" w:hAnsi="Arial" w:cs="Arial"/>
          <w:szCs w:val="22"/>
          <w:lang w:val="el-GR"/>
        </w:rPr>
        <w:t xml:space="preserve">, γι’ αυτό και είναι δυνατόν να δημιουργηθούν </w:t>
      </w:r>
      <w:r w:rsidRPr="00E84F92">
        <w:rPr>
          <w:rFonts w:ascii="Arial" w:hAnsi="Arial" w:cs="Arial"/>
          <w:szCs w:val="22"/>
        </w:rPr>
        <w:t xml:space="preserve">θύλακες ευπάθειας </w:t>
      </w:r>
      <w:r w:rsidRPr="00E84F92">
        <w:rPr>
          <w:rFonts w:ascii="Arial" w:hAnsi="Arial" w:cs="Arial"/>
          <w:szCs w:val="22"/>
          <w:lang w:val="el-GR"/>
        </w:rPr>
        <w:t>εντός αυτού</w:t>
      </w:r>
      <w:r w:rsidRPr="00E84F92">
        <w:rPr>
          <w:rFonts w:ascii="Arial" w:hAnsi="Arial" w:cs="Arial"/>
          <w:szCs w:val="22"/>
        </w:rPr>
        <w:t xml:space="preserve">.  </w:t>
      </w:r>
    </w:p>
    <w:p w14:paraId="7F6146FB" w14:textId="77777777" w:rsidR="00E84F92" w:rsidRPr="00E84F92" w:rsidRDefault="00E84F92" w:rsidP="00E84F92">
      <w:pPr>
        <w:pStyle w:val="P68B1DB1-BodyTextIndent33"/>
        <w:numPr>
          <w:ilvl w:val="0"/>
          <w:numId w:val="8"/>
        </w:numPr>
        <w:spacing w:before="120" w:line="360" w:lineRule="auto"/>
        <w:jc w:val="both"/>
        <w:rPr>
          <w:rFonts w:ascii="Arial" w:hAnsi="Arial" w:cs="Arial"/>
          <w:szCs w:val="22"/>
        </w:rPr>
      </w:pPr>
      <w:r w:rsidRPr="00E84F92">
        <w:rPr>
          <w:rFonts w:ascii="Arial" w:hAnsi="Arial" w:cs="Arial"/>
          <w:i/>
          <w:szCs w:val="22"/>
        </w:rPr>
        <w:t>Η υπερτίμηση των πραγματικών και χρηματοοικονομικών στοιχείων ενεργητικού μετατρέπεται σε συστημικό κίνδυνο, ο οποίος</w:t>
      </w:r>
      <w:r w:rsidRPr="00E84F92">
        <w:rPr>
          <w:rFonts w:ascii="Arial" w:hAnsi="Arial" w:cs="Arial"/>
          <w:i/>
          <w:szCs w:val="22"/>
          <w:lang w:val="el-GR"/>
        </w:rPr>
        <w:t xml:space="preserve"> όμως</w:t>
      </w:r>
      <w:r w:rsidRPr="00E84F92">
        <w:rPr>
          <w:rFonts w:ascii="Arial" w:hAnsi="Arial" w:cs="Arial"/>
          <w:i/>
          <w:szCs w:val="22"/>
        </w:rPr>
        <w:t xml:space="preserve"> μπορεί να μετριαστεί με κατάλληλα εποπτικά και μακροπροληπτικά μέτρα.</w:t>
      </w:r>
      <w:r w:rsidRPr="00E84F92">
        <w:rPr>
          <w:rFonts w:ascii="Arial" w:hAnsi="Arial" w:cs="Arial"/>
          <w:szCs w:val="22"/>
        </w:rPr>
        <w:t xml:space="preserve"> Πρώτον, αυξάνεται η πιθανότητα και η ένταση απότομων και εκτεταμένων διορθώσεων στις τιμές των περιουσιακών στοιχείων. Δεύτερον, ο κίνδυνος μετάδοσης και </w:t>
      </w:r>
      <w:r w:rsidRPr="00E84F92">
        <w:rPr>
          <w:rFonts w:ascii="Arial" w:hAnsi="Arial" w:cs="Arial"/>
          <w:szCs w:val="22"/>
          <w:lang w:val="el-GR"/>
        </w:rPr>
        <w:t xml:space="preserve">ο κίνδυνος </w:t>
      </w:r>
      <w:r w:rsidRPr="00E84F92">
        <w:rPr>
          <w:rFonts w:ascii="Arial" w:hAnsi="Arial" w:cs="Arial"/>
          <w:szCs w:val="22"/>
        </w:rPr>
        <w:t xml:space="preserve">συγκέντρωσης </w:t>
      </w:r>
      <w:r w:rsidRPr="00E84F92">
        <w:rPr>
          <w:rFonts w:ascii="Arial" w:hAnsi="Arial" w:cs="Arial"/>
          <w:szCs w:val="22"/>
          <w:lang w:val="el-GR"/>
        </w:rPr>
        <w:t xml:space="preserve">είναι δυνατόν </w:t>
      </w:r>
      <w:r w:rsidRPr="00E84F92">
        <w:rPr>
          <w:rFonts w:ascii="Arial" w:hAnsi="Arial" w:cs="Arial"/>
          <w:szCs w:val="22"/>
        </w:rPr>
        <w:t>να ενισχύσ</w:t>
      </w:r>
      <w:r w:rsidRPr="00E84F92">
        <w:rPr>
          <w:rFonts w:ascii="Arial" w:hAnsi="Arial" w:cs="Arial"/>
          <w:szCs w:val="22"/>
          <w:lang w:val="el-GR"/>
        </w:rPr>
        <w:t>ουν</w:t>
      </w:r>
      <w:r w:rsidRPr="00E84F92">
        <w:rPr>
          <w:rFonts w:ascii="Arial" w:hAnsi="Arial" w:cs="Arial"/>
          <w:szCs w:val="22"/>
        </w:rPr>
        <w:t xml:space="preserve"> τη μετάδοση </w:t>
      </w:r>
      <w:r w:rsidRPr="00E84F92">
        <w:rPr>
          <w:rFonts w:ascii="Arial" w:hAnsi="Arial" w:cs="Arial"/>
          <w:szCs w:val="22"/>
          <w:lang w:val="el-GR"/>
        </w:rPr>
        <w:t>των διαταραχών</w:t>
      </w:r>
      <w:r w:rsidRPr="00E84F92">
        <w:rPr>
          <w:rFonts w:ascii="Arial" w:hAnsi="Arial" w:cs="Arial"/>
          <w:szCs w:val="22"/>
        </w:rPr>
        <w:t xml:space="preserve">, ιδίως όσον αφορά </w:t>
      </w:r>
      <w:r w:rsidRPr="00E84F92">
        <w:rPr>
          <w:rFonts w:ascii="Arial" w:hAnsi="Arial" w:cs="Arial"/>
          <w:szCs w:val="22"/>
          <w:lang w:val="el-GR"/>
        </w:rPr>
        <w:t>την έκθεση στον τομέα των οικιστικών και επαγγελματικών ακινήτων</w:t>
      </w:r>
      <w:r w:rsidRPr="00E84F92">
        <w:rPr>
          <w:rFonts w:ascii="Arial" w:hAnsi="Arial" w:cs="Arial"/>
          <w:szCs w:val="22"/>
        </w:rPr>
        <w:t xml:space="preserve">. </w:t>
      </w:r>
    </w:p>
    <w:p w14:paraId="51ED0B3C"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Πάντως, </w:t>
      </w:r>
      <w:r w:rsidRPr="00E84F92">
        <w:rPr>
          <w:rFonts w:ascii="Arial" w:hAnsi="Arial" w:cs="Arial"/>
          <w:szCs w:val="22"/>
        </w:rPr>
        <w:t xml:space="preserve">θα </w:t>
      </w:r>
      <w:r w:rsidRPr="00E84F92">
        <w:rPr>
          <w:rFonts w:ascii="Arial" w:hAnsi="Arial" w:cs="Arial"/>
          <w:szCs w:val="22"/>
          <w:lang w:val="el-GR"/>
        </w:rPr>
        <w:t xml:space="preserve">πρέπει να τονιστεί </w:t>
      </w:r>
      <w:r w:rsidRPr="00E84F92">
        <w:rPr>
          <w:rFonts w:ascii="Arial" w:hAnsi="Arial" w:cs="Arial"/>
          <w:szCs w:val="22"/>
        </w:rPr>
        <w:t xml:space="preserve">ότι </w:t>
      </w:r>
      <w:r w:rsidRPr="00E84F92">
        <w:rPr>
          <w:rFonts w:ascii="Arial" w:hAnsi="Arial" w:cs="Arial"/>
          <w:szCs w:val="22"/>
          <w:lang w:val="el-GR"/>
        </w:rPr>
        <w:t xml:space="preserve">μια σειρά μέτρων νομισματικής πολιτικής που εφαρμόστηκαν από τις </w:t>
      </w:r>
      <w:r w:rsidRPr="00E84F92">
        <w:rPr>
          <w:rFonts w:ascii="Arial" w:hAnsi="Arial" w:cs="Arial"/>
          <w:szCs w:val="22"/>
        </w:rPr>
        <w:t xml:space="preserve">νομισματικές αρχές </w:t>
      </w:r>
      <w:r w:rsidRPr="00E84F92">
        <w:rPr>
          <w:rFonts w:ascii="Arial" w:hAnsi="Arial" w:cs="Arial"/>
          <w:szCs w:val="22"/>
          <w:lang w:val="el-GR"/>
        </w:rPr>
        <w:t>βοήθησαν ώστε να μετριαστούν οι επιπτώσεις το</w:t>
      </w:r>
      <w:r w:rsidRPr="00E84F92">
        <w:rPr>
          <w:rFonts w:ascii="Arial" w:hAnsi="Arial" w:cs="Arial"/>
          <w:szCs w:val="22"/>
        </w:rPr>
        <w:t xml:space="preserve">υ περιβάλλοντος χαμηλών επιτοκίων για τον τραπεζικό τομέα. Παραδείγματα αποτελούν </w:t>
      </w:r>
      <w:r w:rsidRPr="00E84F92">
        <w:rPr>
          <w:rFonts w:ascii="Arial" w:hAnsi="Arial" w:cs="Arial"/>
          <w:szCs w:val="22"/>
          <w:lang w:val="el-GR"/>
        </w:rPr>
        <w:t>η καθιέρωση συστήματος</w:t>
      </w:r>
      <w:r w:rsidRPr="00E84F92">
        <w:rPr>
          <w:rFonts w:ascii="Arial" w:hAnsi="Arial" w:cs="Arial"/>
          <w:szCs w:val="22"/>
        </w:rPr>
        <w:t xml:space="preserve"> δύο βαθμίδων </w:t>
      </w:r>
      <w:r w:rsidRPr="00E84F92">
        <w:rPr>
          <w:rFonts w:ascii="Arial" w:hAnsi="Arial" w:cs="Arial"/>
          <w:szCs w:val="22"/>
          <w:lang w:val="el-GR"/>
        </w:rPr>
        <w:t>για τον εκτοκισμό των πλεοναζόντων αποθεματικών των πιστωτικών ιδρυμάτων (πέραν των υποχρεωτικών αποθεματικών)</w:t>
      </w:r>
      <w:r w:rsidRPr="00E84F92">
        <w:rPr>
          <w:rFonts w:ascii="Arial" w:hAnsi="Arial" w:cs="Arial"/>
          <w:szCs w:val="22"/>
        </w:rPr>
        <w:t xml:space="preserve">, </w:t>
      </w:r>
      <w:r w:rsidRPr="00E84F92">
        <w:rPr>
          <w:rFonts w:ascii="Arial" w:hAnsi="Arial" w:cs="Arial"/>
          <w:szCs w:val="22"/>
          <w:lang w:val="el-GR"/>
        </w:rPr>
        <w:t>η εφαρμογή</w:t>
      </w:r>
      <w:r w:rsidRPr="00E84F92">
        <w:rPr>
          <w:rFonts w:ascii="Arial" w:hAnsi="Arial" w:cs="Arial"/>
          <w:szCs w:val="22"/>
        </w:rPr>
        <w:t xml:space="preserve"> αρνητικ</w:t>
      </w:r>
      <w:r w:rsidRPr="00E84F92">
        <w:rPr>
          <w:rFonts w:ascii="Arial" w:hAnsi="Arial" w:cs="Arial"/>
          <w:szCs w:val="22"/>
          <w:lang w:val="el-GR"/>
        </w:rPr>
        <w:t>ού</w:t>
      </w:r>
      <w:r w:rsidRPr="00E84F92">
        <w:rPr>
          <w:rFonts w:ascii="Arial" w:hAnsi="Arial" w:cs="Arial"/>
          <w:szCs w:val="22"/>
        </w:rPr>
        <w:t xml:space="preserve"> επιτ</w:t>
      </w:r>
      <w:r w:rsidRPr="00E84F92">
        <w:rPr>
          <w:rFonts w:ascii="Arial" w:hAnsi="Arial" w:cs="Arial"/>
          <w:szCs w:val="22"/>
          <w:lang w:val="el-GR"/>
        </w:rPr>
        <w:t>οκίου</w:t>
      </w:r>
      <w:r w:rsidRPr="00E84F92">
        <w:rPr>
          <w:rFonts w:ascii="Arial" w:hAnsi="Arial" w:cs="Arial"/>
          <w:szCs w:val="22"/>
        </w:rPr>
        <w:t xml:space="preserve"> </w:t>
      </w:r>
      <w:r w:rsidRPr="00E84F92">
        <w:rPr>
          <w:rFonts w:ascii="Arial" w:hAnsi="Arial" w:cs="Arial"/>
          <w:szCs w:val="22"/>
          <w:lang w:val="el-GR"/>
        </w:rPr>
        <w:t xml:space="preserve">στις πράξεις </w:t>
      </w:r>
      <w:r w:rsidRPr="00E84F92">
        <w:rPr>
          <w:rFonts w:ascii="Arial" w:hAnsi="Arial" w:cs="Arial"/>
          <w:szCs w:val="22"/>
          <w:lang w:val="en-US"/>
        </w:rPr>
        <w:t>TLTRO</w:t>
      </w:r>
      <w:r w:rsidRPr="00E84F92">
        <w:rPr>
          <w:rFonts w:ascii="Arial" w:hAnsi="Arial" w:cs="Arial"/>
          <w:szCs w:val="22"/>
          <w:lang w:val="el-GR"/>
        </w:rPr>
        <w:t xml:space="preserve"> συναρτώμενου </w:t>
      </w:r>
      <w:r w:rsidRPr="00E84F92">
        <w:rPr>
          <w:rFonts w:ascii="Arial" w:hAnsi="Arial" w:cs="Arial"/>
          <w:szCs w:val="22"/>
        </w:rPr>
        <w:t xml:space="preserve">με την επίτευξη στόχων χορήγησης δανείων και η σημαντική </w:t>
      </w:r>
      <w:r w:rsidRPr="00E84F92">
        <w:rPr>
          <w:rFonts w:ascii="Arial" w:hAnsi="Arial" w:cs="Arial"/>
          <w:szCs w:val="22"/>
          <w:lang w:val="el-GR"/>
        </w:rPr>
        <w:t>διεύρυνση του φάσματος</w:t>
      </w:r>
      <w:r w:rsidRPr="00E84F92">
        <w:rPr>
          <w:rFonts w:ascii="Arial" w:hAnsi="Arial" w:cs="Arial"/>
          <w:szCs w:val="22"/>
        </w:rPr>
        <w:t xml:space="preserve"> των αποδεκτών </w:t>
      </w:r>
      <w:r w:rsidRPr="00E84F92">
        <w:rPr>
          <w:rFonts w:ascii="Arial" w:hAnsi="Arial" w:cs="Arial"/>
          <w:szCs w:val="22"/>
          <w:lang w:val="el-GR"/>
        </w:rPr>
        <w:t>εξασφαλίσεων</w:t>
      </w:r>
      <w:r w:rsidRPr="00E84F92">
        <w:rPr>
          <w:rFonts w:ascii="Arial" w:hAnsi="Arial" w:cs="Arial"/>
          <w:szCs w:val="22"/>
        </w:rPr>
        <w:t xml:space="preserve">. </w:t>
      </w:r>
    </w:p>
    <w:p w14:paraId="0DD4E6F9"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Επιπλέον, η κερδοφορία των τραπεζών </w:t>
      </w:r>
      <w:r w:rsidRPr="00E84F92">
        <w:rPr>
          <w:rFonts w:ascii="Arial" w:hAnsi="Arial" w:cs="Arial"/>
          <w:szCs w:val="22"/>
          <w:lang w:val="el-GR"/>
        </w:rPr>
        <w:t xml:space="preserve">επηρεάστηκε ευνοϊκά </w:t>
      </w:r>
      <w:r w:rsidRPr="00E84F92">
        <w:rPr>
          <w:rFonts w:ascii="Arial" w:hAnsi="Arial" w:cs="Arial"/>
          <w:szCs w:val="22"/>
        </w:rPr>
        <w:t xml:space="preserve">από την αύξηση της αξίας των περιουσιακών στοιχείων </w:t>
      </w:r>
      <w:r w:rsidRPr="00E84F92">
        <w:rPr>
          <w:rFonts w:ascii="Arial" w:hAnsi="Arial" w:cs="Arial"/>
          <w:szCs w:val="22"/>
          <w:lang w:val="el-GR"/>
        </w:rPr>
        <w:t xml:space="preserve">τους </w:t>
      </w:r>
      <w:r w:rsidRPr="00E84F92">
        <w:rPr>
          <w:rFonts w:ascii="Arial" w:hAnsi="Arial" w:cs="Arial"/>
          <w:szCs w:val="22"/>
        </w:rPr>
        <w:t>και από</w:t>
      </w:r>
      <w:r w:rsidRPr="00E84F92">
        <w:rPr>
          <w:rFonts w:ascii="Arial" w:hAnsi="Arial" w:cs="Arial"/>
          <w:szCs w:val="22"/>
          <w:lang w:val="el-GR"/>
        </w:rPr>
        <w:t xml:space="preserve"> το βελτιωμένομακρο</w:t>
      </w:r>
      <w:r w:rsidRPr="00E84F92">
        <w:rPr>
          <w:rFonts w:ascii="Arial" w:hAnsi="Arial" w:cs="Arial"/>
          <w:szCs w:val="22"/>
        </w:rPr>
        <w:t>οικονομικ</w:t>
      </w:r>
      <w:r w:rsidRPr="00E84F92">
        <w:rPr>
          <w:rFonts w:ascii="Arial" w:hAnsi="Arial" w:cs="Arial"/>
          <w:szCs w:val="22"/>
          <w:lang w:val="el-GR"/>
        </w:rPr>
        <w:t xml:space="preserve">ό περιβάλλον. </w:t>
      </w:r>
      <w:r w:rsidRPr="00E84F92">
        <w:rPr>
          <w:rFonts w:ascii="Arial" w:hAnsi="Arial" w:cs="Arial"/>
          <w:szCs w:val="22"/>
        </w:rPr>
        <w:t xml:space="preserve"> Χωρίς τα μέτρα διευκολυντικ</w:t>
      </w:r>
      <w:r w:rsidRPr="00E84F92">
        <w:rPr>
          <w:rFonts w:ascii="Arial" w:hAnsi="Arial" w:cs="Arial"/>
          <w:szCs w:val="22"/>
          <w:lang w:val="el-GR"/>
        </w:rPr>
        <w:t>ής</w:t>
      </w:r>
      <w:r w:rsidRPr="00E84F92">
        <w:rPr>
          <w:rFonts w:ascii="Arial" w:hAnsi="Arial" w:cs="Arial"/>
          <w:szCs w:val="22"/>
        </w:rPr>
        <w:t xml:space="preserve"> νομισματικής πολιτικής, </w:t>
      </w:r>
      <w:r w:rsidRPr="00E84F92">
        <w:rPr>
          <w:rFonts w:ascii="Arial" w:hAnsi="Arial" w:cs="Arial"/>
          <w:szCs w:val="22"/>
          <w:lang w:val="el-GR"/>
        </w:rPr>
        <w:t xml:space="preserve">οι εξελίξεις </w:t>
      </w:r>
      <w:r w:rsidRPr="00E84F92">
        <w:rPr>
          <w:rFonts w:ascii="Arial" w:hAnsi="Arial" w:cs="Arial"/>
          <w:szCs w:val="22"/>
        </w:rPr>
        <w:t>θα ήταν πολύ διαφορετικ</w:t>
      </w:r>
      <w:r w:rsidRPr="00E84F92">
        <w:rPr>
          <w:rFonts w:ascii="Arial" w:hAnsi="Arial" w:cs="Arial"/>
          <w:szCs w:val="22"/>
          <w:lang w:val="el-GR"/>
        </w:rPr>
        <w:t>ές</w:t>
      </w:r>
      <w:r w:rsidRPr="00E84F92">
        <w:rPr>
          <w:rFonts w:ascii="Arial" w:hAnsi="Arial" w:cs="Arial"/>
          <w:szCs w:val="22"/>
        </w:rPr>
        <w:t xml:space="preserve">. </w:t>
      </w:r>
      <w:r w:rsidRPr="00E84F92">
        <w:rPr>
          <w:rFonts w:ascii="Arial" w:hAnsi="Arial" w:cs="Arial"/>
          <w:szCs w:val="22"/>
          <w:lang w:val="el-GR"/>
        </w:rPr>
        <w:t xml:space="preserve">Αν είχε παραμείνει </w:t>
      </w:r>
      <w:r w:rsidRPr="00E84F92">
        <w:rPr>
          <w:rFonts w:ascii="Arial" w:hAnsi="Arial" w:cs="Arial"/>
          <w:szCs w:val="22"/>
        </w:rPr>
        <w:t xml:space="preserve">στάσιμη η οικονομική δραστηριότητα, ο τραπεζικός δανεισμός και η εξυπηρέτηση </w:t>
      </w:r>
      <w:r w:rsidRPr="00E84F92">
        <w:rPr>
          <w:rFonts w:ascii="Arial" w:hAnsi="Arial" w:cs="Arial"/>
          <w:szCs w:val="22"/>
          <w:lang w:val="el-GR"/>
        </w:rPr>
        <w:t xml:space="preserve">των </w:t>
      </w:r>
      <w:r w:rsidRPr="00E84F92">
        <w:rPr>
          <w:rFonts w:ascii="Arial" w:hAnsi="Arial" w:cs="Arial"/>
          <w:szCs w:val="22"/>
        </w:rPr>
        <w:t>δανείων θα είχαν επηρεαστεί σημαντικά, με δυσμενείς επιπτώσεις στα έσοδα των τραπεζών και στο κόστος του πιστωτικού κινδύνου. Αυτό ισχύει και για τον μη τραπεζικό χρηματοπιστωτικό τομέα</w:t>
      </w:r>
      <w:r w:rsidRPr="00E84F92">
        <w:rPr>
          <w:rFonts w:ascii="Arial" w:hAnsi="Arial" w:cs="Arial"/>
          <w:szCs w:val="22"/>
          <w:lang w:val="el-GR"/>
        </w:rPr>
        <w:t>.</w:t>
      </w:r>
    </w:p>
    <w:p w14:paraId="3BADA0B2" w14:textId="77777777" w:rsidR="00E84F92" w:rsidRPr="00E84F92" w:rsidRDefault="00E84F92" w:rsidP="00E84F92">
      <w:pPr>
        <w:pStyle w:val="P68B1DB1-BodyTextIndent33"/>
        <w:numPr>
          <w:ilvl w:val="0"/>
          <w:numId w:val="6"/>
        </w:numPr>
        <w:spacing w:before="120" w:after="360" w:line="360" w:lineRule="auto"/>
        <w:jc w:val="both"/>
        <w:rPr>
          <w:rFonts w:ascii="Arial" w:hAnsi="Arial" w:cs="Arial"/>
          <w:szCs w:val="22"/>
        </w:rPr>
      </w:pPr>
      <w:r w:rsidRPr="00E84F92">
        <w:rPr>
          <w:rFonts w:ascii="Arial" w:hAnsi="Arial" w:cs="Arial"/>
          <w:szCs w:val="22"/>
        </w:rPr>
        <w:t xml:space="preserve">Οι αρχές έλαβαν επίσης </w:t>
      </w:r>
      <w:r w:rsidRPr="00E84F92">
        <w:rPr>
          <w:rFonts w:ascii="Arial" w:hAnsi="Arial" w:cs="Arial"/>
          <w:szCs w:val="22"/>
          <w:lang w:val="el-GR"/>
        </w:rPr>
        <w:t>σειρά μέτρων</w:t>
      </w:r>
      <w:r w:rsidRPr="00E84F92">
        <w:rPr>
          <w:rFonts w:ascii="Arial" w:hAnsi="Arial" w:cs="Arial"/>
          <w:szCs w:val="22"/>
        </w:rPr>
        <w:t xml:space="preserve"> για </w:t>
      </w:r>
      <w:r w:rsidRPr="00E84F92">
        <w:rPr>
          <w:rFonts w:ascii="Arial" w:hAnsi="Arial" w:cs="Arial"/>
          <w:szCs w:val="22"/>
          <w:lang w:val="el-GR"/>
        </w:rPr>
        <w:t xml:space="preserve">να ενισχύσουν την </w:t>
      </w:r>
      <w:r w:rsidRPr="00E84F92">
        <w:rPr>
          <w:rFonts w:ascii="Arial" w:hAnsi="Arial" w:cs="Arial"/>
          <w:szCs w:val="22"/>
        </w:rPr>
        <w:t xml:space="preserve">εποπτεία του χρηματοπιστωτικού τομέα </w:t>
      </w:r>
      <w:r w:rsidRPr="00E84F92">
        <w:rPr>
          <w:rFonts w:ascii="Arial" w:hAnsi="Arial" w:cs="Arial"/>
          <w:szCs w:val="22"/>
          <w:lang w:val="el-GR"/>
        </w:rPr>
        <w:t>στη</w:t>
      </w:r>
      <w:r w:rsidRPr="00E84F92">
        <w:rPr>
          <w:rFonts w:ascii="Arial" w:hAnsi="Arial" w:cs="Arial"/>
          <w:szCs w:val="22"/>
        </w:rPr>
        <w:t xml:space="preserve"> ζώνη του ευρώ, ιδίως με τη δημιουργία </w:t>
      </w:r>
      <w:r w:rsidRPr="00E84F92">
        <w:rPr>
          <w:rFonts w:ascii="Arial" w:hAnsi="Arial" w:cs="Arial"/>
          <w:szCs w:val="22"/>
          <w:lang w:val="el-GR"/>
        </w:rPr>
        <w:t xml:space="preserve">της (ατελούς ακόμη) </w:t>
      </w:r>
      <w:r w:rsidRPr="00E84F92">
        <w:rPr>
          <w:rFonts w:ascii="Arial" w:hAnsi="Arial" w:cs="Arial"/>
          <w:szCs w:val="22"/>
        </w:rPr>
        <w:t>Τραπεζικής Ένωση</w:t>
      </w:r>
      <w:r w:rsidRPr="00E84F92">
        <w:rPr>
          <w:rFonts w:ascii="Arial" w:hAnsi="Arial" w:cs="Arial"/>
          <w:szCs w:val="22"/>
          <w:lang w:val="el-GR"/>
        </w:rPr>
        <w:t>ς</w:t>
      </w:r>
      <w:r w:rsidRPr="00E84F92">
        <w:rPr>
          <w:rFonts w:ascii="Arial" w:hAnsi="Arial" w:cs="Arial"/>
          <w:szCs w:val="22"/>
        </w:rPr>
        <w:t xml:space="preserve">, με τον Ενιαίο Εποπτικό Μηχανισμό και το Ενιαίο </w:t>
      </w:r>
      <w:r w:rsidRPr="00E84F92">
        <w:rPr>
          <w:rFonts w:ascii="Arial" w:hAnsi="Arial" w:cs="Arial"/>
          <w:szCs w:val="22"/>
          <w:lang w:val="el-GR"/>
        </w:rPr>
        <w:t>Μηχανισμό</w:t>
      </w:r>
      <w:r w:rsidRPr="00E84F92">
        <w:rPr>
          <w:rFonts w:ascii="Arial" w:hAnsi="Arial" w:cs="Arial"/>
          <w:szCs w:val="22"/>
        </w:rPr>
        <w:t xml:space="preserve"> </w:t>
      </w:r>
      <w:r w:rsidRPr="00E84F92">
        <w:rPr>
          <w:rFonts w:ascii="Arial" w:hAnsi="Arial" w:cs="Arial"/>
          <w:szCs w:val="22"/>
        </w:rPr>
        <w:lastRenderedPageBreak/>
        <w:t>Εξυγίανσης</w:t>
      </w:r>
      <w:r w:rsidRPr="00E84F92">
        <w:rPr>
          <w:rFonts w:ascii="Arial" w:hAnsi="Arial" w:cs="Arial"/>
          <w:szCs w:val="22"/>
          <w:lang w:val="el-GR"/>
        </w:rPr>
        <w:t xml:space="preserve"> στον πυρήνα της</w:t>
      </w:r>
      <w:r w:rsidRPr="00E84F92">
        <w:rPr>
          <w:rFonts w:ascii="Arial" w:hAnsi="Arial" w:cs="Arial"/>
          <w:szCs w:val="22"/>
        </w:rPr>
        <w:t xml:space="preserve">. Ως εκ τούτου, η ανθεκτικότητα του χρηματοπιστωτικού τομέα </w:t>
      </w:r>
      <w:r w:rsidRPr="00E84F92">
        <w:rPr>
          <w:rFonts w:ascii="Arial" w:hAnsi="Arial" w:cs="Arial"/>
          <w:szCs w:val="22"/>
          <w:lang w:val="el-GR"/>
        </w:rPr>
        <w:t>στη</w:t>
      </w:r>
      <w:r w:rsidRPr="00E84F92">
        <w:rPr>
          <w:rFonts w:ascii="Arial" w:hAnsi="Arial" w:cs="Arial"/>
          <w:szCs w:val="22"/>
        </w:rPr>
        <w:t xml:space="preserve"> ζώνη του ευρώ έχει βελτιωθεί σημαντικά και παρέχει ένα </w:t>
      </w:r>
      <w:r w:rsidRPr="00E84F92">
        <w:rPr>
          <w:rFonts w:ascii="Arial" w:hAnsi="Arial" w:cs="Arial"/>
          <w:szCs w:val="22"/>
          <w:lang w:val="el-GR"/>
        </w:rPr>
        <w:t xml:space="preserve">ανάχωμα </w:t>
      </w:r>
      <w:r w:rsidRPr="00E84F92">
        <w:rPr>
          <w:rFonts w:ascii="Arial" w:hAnsi="Arial" w:cs="Arial"/>
          <w:szCs w:val="22"/>
        </w:rPr>
        <w:t xml:space="preserve">σε </w:t>
      </w:r>
      <w:r w:rsidRPr="00E84F92">
        <w:rPr>
          <w:rFonts w:ascii="Arial" w:hAnsi="Arial" w:cs="Arial"/>
          <w:szCs w:val="22"/>
          <w:lang w:val="el-GR"/>
        </w:rPr>
        <w:t xml:space="preserve">τυχόν </w:t>
      </w:r>
      <w:r w:rsidRPr="00E84F92">
        <w:rPr>
          <w:rFonts w:ascii="Arial" w:hAnsi="Arial" w:cs="Arial"/>
          <w:szCs w:val="22"/>
        </w:rPr>
        <w:t>μελλοντικά επεισόδια κρίσης.</w:t>
      </w:r>
    </w:p>
    <w:p w14:paraId="0EFA9606" w14:textId="77777777" w:rsidR="00E84F92" w:rsidRPr="00E84F92" w:rsidRDefault="00E84F92" w:rsidP="00E84F92">
      <w:pPr>
        <w:pStyle w:val="P68B1DB1-BodyTextIndent33"/>
        <w:spacing w:before="120" w:after="360" w:line="360" w:lineRule="auto"/>
        <w:ind w:left="360"/>
        <w:jc w:val="both"/>
        <w:rPr>
          <w:rFonts w:ascii="Arial" w:hAnsi="Arial" w:cs="Arial"/>
          <w:b/>
          <w:szCs w:val="22"/>
          <w:lang w:val="el-GR"/>
        </w:rPr>
      </w:pPr>
      <w:r w:rsidRPr="00E84F92">
        <w:rPr>
          <w:rFonts w:ascii="Arial" w:hAnsi="Arial" w:cs="Arial"/>
          <w:b/>
          <w:szCs w:val="22"/>
          <w:lang w:val="el-GR"/>
        </w:rPr>
        <w:t xml:space="preserve">Δ. Συνέπειες για την κερδοφορία των κεντρικών τραπεζών </w:t>
      </w:r>
    </w:p>
    <w:p w14:paraId="3E5A10FD" w14:textId="77777777" w:rsidR="00E84F92" w:rsidRPr="00E84F92" w:rsidRDefault="00E84F92" w:rsidP="00E84F92">
      <w:pPr>
        <w:pStyle w:val="P68B1DB1-BodyTextIndent33"/>
        <w:numPr>
          <w:ilvl w:val="0"/>
          <w:numId w:val="9"/>
        </w:numPr>
        <w:spacing w:before="120" w:after="360" w:line="360" w:lineRule="auto"/>
        <w:ind w:left="851" w:hanging="567"/>
        <w:jc w:val="both"/>
        <w:rPr>
          <w:rFonts w:ascii="Arial" w:hAnsi="Arial" w:cs="Arial"/>
          <w:szCs w:val="22"/>
        </w:rPr>
      </w:pPr>
      <w:r w:rsidRPr="00E84F92">
        <w:rPr>
          <w:rFonts w:ascii="Arial" w:hAnsi="Arial" w:cs="Arial"/>
          <w:szCs w:val="22"/>
          <w:lang w:val="el-GR"/>
        </w:rPr>
        <w:t xml:space="preserve">Τα δύο </w:t>
      </w:r>
      <w:r w:rsidRPr="00E84F92">
        <w:rPr>
          <w:rFonts w:ascii="Arial" w:hAnsi="Arial" w:cs="Arial"/>
          <w:szCs w:val="22"/>
        </w:rPr>
        <w:t>τελευταί</w:t>
      </w:r>
      <w:r w:rsidRPr="00E84F92">
        <w:rPr>
          <w:rFonts w:ascii="Arial" w:hAnsi="Arial" w:cs="Arial"/>
          <w:szCs w:val="22"/>
          <w:lang w:val="el-GR"/>
        </w:rPr>
        <w:t>α χρόνια</w:t>
      </w:r>
      <w:r w:rsidRPr="00E84F92">
        <w:rPr>
          <w:rFonts w:ascii="Arial" w:hAnsi="Arial" w:cs="Arial"/>
          <w:szCs w:val="22"/>
        </w:rPr>
        <w:t>, η κερδοφορία των κεντρικών τραπεζών δέχ</w:t>
      </w:r>
      <w:r w:rsidRPr="00E84F92">
        <w:rPr>
          <w:rFonts w:ascii="Arial" w:hAnsi="Arial" w:cs="Arial"/>
          <w:szCs w:val="22"/>
          <w:lang w:val="el-GR"/>
        </w:rPr>
        <w:t>θ</w:t>
      </w:r>
      <w:r w:rsidRPr="00E84F92">
        <w:rPr>
          <w:rFonts w:ascii="Arial" w:hAnsi="Arial" w:cs="Arial"/>
          <w:szCs w:val="22"/>
        </w:rPr>
        <w:t xml:space="preserve">ηκε πλήγμα, προκαλώντας ορισμένες ανησυχίες ότι </w:t>
      </w:r>
      <w:r w:rsidRPr="00E84F92">
        <w:rPr>
          <w:rFonts w:ascii="Arial" w:hAnsi="Arial" w:cs="Arial"/>
          <w:szCs w:val="22"/>
          <w:lang w:val="el-GR"/>
        </w:rPr>
        <w:t xml:space="preserve">πιθανόν τίθεται σε κίνδυνο η </w:t>
      </w:r>
      <w:r w:rsidRPr="00E84F92">
        <w:rPr>
          <w:rFonts w:ascii="Arial" w:hAnsi="Arial" w:cs="Arial"/>
          <w:szCs w:val="22"/>
        </w:rPr>
        <w:t>ικανότητα των κεντρικών τραπεζών να εκπληρώ</w:t>
      </w:r>
      <w:r w:rsidRPr="00E84F92">
        <w:rPr>
          <w:rFonts w:ascii="Arial" w:hAnsi="Arial" w:cs="Arial"/>
          <w:szCs w:val="22"/>
          <w:lang w:val="el-GR"/>
        </w:rPr>
        <w:t>ν</w:t>
      </w:r>
      <w:r w:rsidRPr="00E84F92">
        <w:rPr>
          <w:rFonts w:ascii="Arial" w:hAnsi="Arial" w:cs="Arial"/>
          <w:szCs w:val="22"/>
        </w:rPr>
        <w:t xml:space="preserve">ουν την </w:t>
      </w:r>
      <w:r w:rsidRPr="00E84F92">
        <w:rPr>
          <w:rFonts w:ascii="Arial" w:hAnsi="Arial" w:cs="Arial"/>
          <w:szCs w:val="22"/>
          <w:lang w:val="el-GR"/>
        </w:rPr>
        <w:t>αποστολή</w:t>
      </w:r>
      <w:r w:rsidRPr="00E84F92">
        <w:rPr>
          <w:rFonts w:ascii="Arial" w:hAnsi="Arial" w:cs="Arial"/>
          <w:szCs w:val="22"/>
        </w:rPr>
        <w:t xml:space="preserve"> τους.</w:t>
      </w:r>
    </w:p>
    <w:p w14:paraId="204A8537" w14:textId="77777777" w:rsidR="00E84F92" w:rsidRPr="00E84F92" w:rsidRDefault="00E84F92" w:rsidP="00E84F92">
      <w:pPr>
        <w:pStyle w:val="P68B1DB1-BodyTextIndent33"/>
        <w:numPr>
          <w:ilvl w:val="0"/>
          <w:numId w:val="9"/>
        </w:numPr>
        <w:spacing w:before="120" w:after="360" w:line="360" w:lineRule="auto"/>
        <w:ind w:left="851" w:hanging="567"/>
        <w:jc w:val="both"/>
        <w:rPr>
          <w:rFonts w:ascii="Arial" w:hAnsi="Arial" w:cs="Arial"/>
          <w:szCs w:val="22"/>
        </w:rPr>
      </w:pPr>
      <w:r w:rsidRPr="00E84F92">
        <w:rPr>
          <w:rFonts w:ascii="Arial" w:hAnsi="Arial" w:cs="Arial"/>
          <w:szCs w:val="22"/>
        </w:rPr>
        <w:t>Το ερώτημα είναι</w:t>
      </w:r>
      <w:r w:rsidRPr="00E84F92">
        <w:rPr>
          <w:rFonts w:ascii="Arial" w:hAnsi="Arial" w:cs="Arial"/>
          <w:szCs w:val="22"/>
          <w:lang w:val="el-GR"/>
        </w:rPr>
        <w:t>: Η</w:t>
      </w:r>
      <w:r w:rsidRPr="00E84F92">
        <w:rPr>
          <w:rFonts w:ascii="Arial" w:hAnsi="Arial" w:cs="Arial"/>
          <w:szCs w:val="22"/>
        </w:rPr>
        <w:t xml:space="preserve"> </w:t>
      </w:r>
      <w:r w:rsidRPr="00E84F92">
        <w:rPr>
          <w:rFonts w:ascii="Arial" w:hAnsi="Arial" w:cs="Arial"/>
          <w:szCs w:val="22"/>
          <w:lang w:val="el-GR"/>
        </w:rPr>
        <w:t xml:space="preserve">καταγραφή ζημιών από τις </w:t>
      </w:r>
      <w:r w:rsidRPr="00E84F92">
        <w:rPr>
          <w:rFonts w:ascii="Arial" w:hAnsi="Arial" w:cs="Arial"/>
          <w:szCs w:val="22"/>
        </w:rPr>
        <w:t>κεντρικ</w:t>
      </w:r>
      <w:r w:rsidRPr="00E84F92">
        <w:rPr>
          <w:rFonts w:ascii="Arial" w:hAnsi="Arial" w:cs="Arial"/>
          <w:szCs w:val="22"/>
          <w:lang w:val="el-GR"/>
        </w:rPr>
        <w:t>ές</w:t>
      </w:r>
      <w:r w:rsidRPr="00E84F92">
        <w:rPr>
          <w:rFonts w:ascii="Arial" w:hAnsi="Arial" w:cs="Arial"/>
          <w:szCs w:val="22"/>
        </w:rPr>
        <w:t xml:space="preserve"> τράπεζ</w:t>
      </w:r>
      <w:r w:rsidRPr="00E84F92">
        <w:rPr>
          <w:rFonts w:ascii="Arial" w:hAnsi="Arial" w:cs="Arial"/>
          <w:szCs w:val="22"/>
          <w:lang w:val="el-GR"/>
        </w:rPr>
        <w:t>ε</w:t>
      </w:r>
      <w:r w:rsidRPr="00E84F92">
        <w:rPr>
          <w:rFonts w:ascii="Arial" w:hAnsi="Arial" w:cs="Arial"/>
          <w:szCs w:val="22"/>
        </w:rPr>
        <w:t>ς, έστω και πρ</w:t>
      </w:r>
      <w:r w:rsidRPr="00E84F92">
        <w:rPr>
          <w:rFonts w:ascii="Arial" w:hAnsi="Arial" w:cs="Arial"/>
          <w:szCs w:val="22"/>
          <w:lang w:val="el-GR"/>
        </w:rPr>
        <w:t>όσκαιρη</w:t>
      </w:r>
      <w:r w:rsidRPr="00E84F92">
        <w:rPr>
          <w:rFonts w:ascii="Arial" w:hAnsi="Arial" w:cs="Arial"/>
          <w:szCs w:val="22"/>
        </w:rPr>
        <w:t xml:space="preserve">, </w:t>
      </w:r>
      <w:r w:rsidRPr="00E84F92">
        <w:rPr>
          <w:rFonts w:ascii="Arial" w:hAnsi="Arial" w:cs="Arial"/>
          <w:szCs w:val="22"/>
          <w:lang w:val="el-GR"/>
        </w:rPr>
        <w:t xml:space="preserve">απειλεί </w:t>
      </w:r>
      <w:r w:rsidRPr="00E84F92">
        <w:rPr>
          <w:rFonts w:ascii="Arial" w:hAnsi="Arial" w:cs="Arial"/>
          <w:szCs w:val="22"/>
        </w:rPr>
        <w:t xml:space="preserve">την ανεξαρτησία </w:t>
      </w:r>
      <w:r w:rsidRPr="00E84F92">
        <w:rPr>
          <w:rFonts w:ascii="Arial" w:hAnsi="Arial" w:cs="Arial"/>
          <w:szCs w:val="22"/>
          <w:lang w:val="el-GR"/>
        </w:rPr>
        <w:t xml:space="preserve">τους </w:t>
      </w:r>
      <w:r w:rsidRPr="00E84F92">
        <w:rPr>
          <w:rFonts w:ascii="Arial" w:hAnsi="Arial" w:cs="Arial"/>
          <w:szCs w:val="22"/>
        </w:rPr>
        <w:t>και περιορίζει την ικανότητά τ</w:t>
      </w:r>
      <w:r w:rsidRPr="00E84F92">
        <w:rPr>
          <w:rFonts w:ascii="Arial" w:hAnsi="Arial" w:cs="Arial"/>
          <w:szCs w:val="22"/>
          <w:lang w:val="el-GR"/>
        </w:rPr>
        <w:t>ους</w:t>
      </w:r>
      <w:r w:rsidRPr="00E84F92">
        <w:rPr>
          <w:rFonts w:ascii="Arial" w:hAnsi="Arial" w:cs="Arial"/>
          <w:szCs w:val="22"/>
        </w:rPr>
        <w:t xml:space="preserve"> να ασκ</w:t>
      </w:r>
      <w:r w:rsidRPr="00E84F92">
        <w:rPr>
          <w:rFonts w:ascii="Arial" w:hAnsi="Arial" w:cs="Arial"/>
          <w:szCs w:val="22"/>
          <w:lang w:val="el-GR"/>
        </w:rPr>
        <w:t xml:space="preserve">ήσουν </w:t>
      </w:r>
      <w:r w:rsidRPr="00E84F92">
        <w:rPr>
          <w:rFonts w:ascii="Arial" w:hAnsi="Arial" w:cs="Arial"/>
          <w:szCs w:val="22"/>
        </w:rPr>
        <w:t xml:space="preserve">πολιτική </w:t>
      </w:r>
      <w:r w:rsidRPr="00E84F92">
        <w:rPr>
          <w:rFonts w:ascii="Arial" w:hAnsi="Arial" w:cs="Arial"/>
          <w:szCs w:val="22"/>
          <w:lang w:val="el-GR"/>
        </w:rPr>
        <w:t>κατά το προσεχές διάστημα;</w:t>
      </w:r>
    </w:p>
    <w:p w14:paraId="65E55782" w14:textId="77777777" w:rsidR="00E84F92" w:rsidRPr="00E84F92" w:rsidRDefault="00E84F92" w:rsidP="00E84F92">
      <w:pPr>
        <w:pStyle w:val="BodyTextIndent3"/>
        <w:numPr>
          <w:ilvl w:val="0"/>
          <w:numId w:val="9"/>
        </w:numPr>
        <w:spacing w:before="120" w:line="360" w:lineRule="auto"/>
        <w:ind w:left="567" w:hanging="283"/>
        <w:jc w:val="both"/>
        <w:rPr>
          <w:sz w:val="22"/>
          <w:szCs w:val="22"/>
          <w:lang w:val="el-GR"/>
        </w:rPr>
      </w:pPr>
      <w:r w:rsidRPr="00E84F92">
        <w:rPr>
          <w:sz w:val="22"/>
          <w:szCs w:val="22"/>
          <w:lang w:val="el-GR"/>
        </w:rPr>
        <w:t>Είναι σημαντικό να τονιστεί ότι οι κεντρικές τράπεζες είναι θεσμικά όργανα  δημόσιου χαρακτήρα με συγκεκριμένη αποστολή και δεν επιδιώκουν το κέρδος.</w:t>
      </w:r>
    </w:p>
    <w:p w14:paraId="2A5B0FD6" w14:textId="77777777" w:rsidR="00E84F92" w:rsidRPr="00E84F92" w:rsidRDefault="00E84F92" w:rsidP="00E84F92">
      <w:pPr>
        <w:pStyle w:val="BodyTextIndent3"/>
        <w:numPr>
          <w:ilvl w:val="0"/>
          <w:numId w:val="9"/>
        </w:numPr>
        <w:spacing w:before="120" w:line="360" w:lineRule="auto"/>
        <w:ind w:left="567" w:hanging="283"/>
        <w:jc w:val="both"/>
        <w:rPr>
          <w:sz w:val="22"/>
          <w:szCs w:val="22"/>
          <w:lang w:val="el-GR"/>
        </w:rPr>
      </w:pPr>
      <w:r w:rsidRPr="00E84F92">
        <w:rPr>
          <w:sz w:val="22"/>
          <w:szCs w:val="22"/>
          <w:lang w:val="el-GR"/>
        </w:rPr>
        <w:t>Ο πρωταρχικός σκοπός μας είναι η διατήρηση της σταθερότητας των τιμών. Οι πρόσφατες ζημίες είναι παρενέργεια των πολιτικών που εφαρμόσαμε τα προηγούμενα χρόνια για να επαναφέρουμε τον πληθωρισμό στο στόχο μας. Οι ζημίες αυτές δεν θέτουν σε κίνδυνο την ικανότητά μας να εκπληρώνουμε την αποστολή μας.</w:t>
      </w:r>
    </w:p>
    <w:p w14:paraId="027B5704" w14:textId="77777777" w:rsidR="00E84F92" w:rsidRPr="00E84F92" w:rsidRDefault="00E84F92" w:rsidP="00E84F92">
      <w:pPr>
        <w:pStyle w:val="BodyTextIndent3"/>
        <w:numPr>
          <w:ilvl w:val="0"/>
          <w:numId w:val="9"/>
        </w:numPr>
        <w:spacing w:before="120" w:line="360" w:lineRule="auto"/>
        <w:ind w:left="567" w:hanging="283"/>
        <w:jc w:val="both"/>
        <w:rPr>
          <w:sz w:val="22"/>
          <w:szCs w:val="22"/>
          <w:lang w:val="el-GR"/>
        </w:rPr>
      </w:pPr>
      <w:r w:rsidRPr="00E84F92">
        <w:rPr>
          <w:sz w:val="22"/>
          <w:szCs w:val="22"/>
          <w:lang w:val="el-GR"/>
        </w:rPr>
        <w:t xml:space="preserve">Συνεπώς, η ανεξαρτησία μας δεν επηρεάζεται από τις ζημίες, καθώς αυτές εν μέρει καλύφθηκαν από τα κέρδη προηγούμενων χρήσεων και θα αντισταθμιστούν από κέρδη μελλοντικών ετών. </w:t>
      </w:r>
    </w:p>
    <w:p w14:paraId="50C5F8DD" w14:textId="77777777" w:rsidR="00E84F92" w:rsidRPr="00E84F92" w:rsidRDefault="00E84F92" w:rsidP="00E84F92">
      <w:pPr>
        <w:pStyle w:val="BodyTextIndent3"/>
        <w:numPr>
          <w:ilvl w:val="0"/>
          <w:numId w:val="9"/>
        </w:numPr>
        <w:spacing w:before="120" w:line="360" w:lineRule="auto"/>
        <w:ind w:left="567" w:hanging="283"/>
        <w:jc w:val="both"/>
        <w:rPr>
          <w:sz w:val="22"/>
          <w:szCs w:val="22"/>
          <w:lang w:val="el-GR"/>
        </w:rPr>
      </w:pPr>
      <w:r w:rsidRPr="00E84F92">
        <w:rPr>
          <w:sz w:val="22"/>
          <w:szCs w:val="22"/>
          <w:lang w:val="el-GR"/>
        </w:rPr>
        <w:t>Όπως είπε και η Πρόεδρος Λαγκάρντ,</w:t>
      </w:r>
      <w:r w:rsidRPr="00E84F92">
        <w:rPr>
          <w:w w:val="110"/>
          <w:sz w:val="22"/>
          <w:szCs w:val="22"/>
          <w:vertAlign w:val="superscript"/>
        </w:rPr>
        <w:footnoteReference w:id="11"/>
      </w:r>
      <w:r w:rsidRPr="00E84F92">
        <w:rPr>
          <w:sz w:val="22"/>
          <w:szCs w:val="22"/>
          <w:vertAlign w:val="superscript"/>
          <w:lang w:val="el-GR"/>
        </w:rPr>
        <w:t xml:space="preserve"> </w:t>
      </w:r>
      <w:r w:rsidRPr="00E84F92">
        <w:rPr>
          <w:sz w:val="22"/>
          <w:szCs w:val="22"/>
          <w:lang w:val="el-GR"/>
        </w:rPr>
        <w:t xml:space="preserve">οι κεντρικές τράπεζες εξ ορισμού ούτε μπορούν να χρεοκοπήσουν ούτε να εξαντληθούν τα διαθέσιμά τους. </w:t>
      </w:r>
    </w:p>
    <w:p w14:paraId="55E909E8" w14:textId="77777777" w:rsidR="00E84F92" w:rsidRPr="00E84F92" w:rsidRDefault="00E84F92" w:rsidP="00E84F92">
      <w:pPr>
        <w:pStyle w:val="P68B1DB1-BodyTextIndent33"/>
        <w:numPr>
          <w:ilvl w:val="0"/>
          <w:numId w:val="9"/>
        </w:numPr>
        <w:spacing w:before="120" w:after="360" w:line="360" w:lineRule="auto"/>
        <w:ind w:left="567" w:hanging="283"/>
        <w:jc w:val="both"/>
        <w:rPr>
          <w:rFonts w:ascii="Arial" w:hAnsi="Arial" w:cs="Arial"/>
          <w:szCs w:val="22"/>
        </w:rPr>
      </w:pPr>
      <w:r w:rsidRPr="00E84F92">
        <w:rPr>
          <w:rFonts w:ascii="Arial" w:hAnsi="Arial" w:cs="Arial"/>
          <w:szCs w:val="22"/>
        </w:rPr>
        <w:t>Στην περίπτωση της ΕΚΤ και άλλων κεντρικών τραπεζών, οι ζημίες θα είναι πρόσκαιρες και σημαντικά χαμηλότερες από το δυνητικό μακροοικονομικό κόστος που θα προέκυπτε αν δεν είχαμε αντιμετωπίσει αποφασιστικά τις προκλήσεις για τη σταθερότητα των τιμών και τους κινδύνους ύφεσης.</w:t>
      </w:r>
    </w:p>
    <w:p w14:paraId="682DEF08" w14:textId="77777777" w:rsidR="00E84F92" w:rsidRPr="00E84F92" w:rsidRDefault="00E84F92" w:rsidP="00E84F92">
      <w:pPr>
        <w:pStyle w:val="P68B1DB1-BodyTextIndent32"/>
        <w:spacing w:before="120" w:after="360" w:line="360" w:lineRule="auto"/>
        <w:ind w:left="426"/>
        <w:jc w:val="both"/>
        <w:rPr>
          <w:rFonts w:ascii="Arial" w:hAnsi="Arial" w:cs="Arial"/>
          <w:i w:val="0"/>
          <w:szCs w:val="22"/>
        </w:rPr>
      </w:pPr>
      <w:r w:rsidRPr="00E84F92">
        <w:rPr>
          <w:rFonts w:ascii="Arial" w:hAnsi="Arial" w:cs="Arial"/>
          <w:i w:val="0"/>
          <w:szCs w:val="22"/>
          <w:lang w:val="el-GR"/>
        </w:rPr>
        <w:t xml:space="preserve">Ε. </w:t>
      </w:r>
      <w:r w:rsidRPr="00E84F92">
        <w:rPr>
          <w:rFonts w:ascii="Arial" w:hAnsi="Arial" w:cs="Arial"/>
          <w:i w:val="0"/>
          <w:szCs w:val="22"/>
        </w:rPr>
        <w:t>Συμπεράσματα και διδάγματα</w:t>
      </w:r>
    </w:p>
    <w:p w14:paraId="4537F95F"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 xml:space="preserve">Η εμπειρία που αποκτήθηκε </w:t>
      </w:r>
      <w:r w:rsidRPr="00E84F92">
        <w:rPr>
          <w:rFonts w:ascii="Arial" w:hAnsi="Arial" w:cs="Arial"/>
          <w:szCs w:val="22"/>
          <w:lang w:val="el-GR"/>
        </w:rPr>
        <w:t xml:space="preserve">από τις </w:t>
      </w:r>
      <w:r w:rsidRPr="00E84F92">
        <w:rPr>
          <w:rFonts w:ascii="Arial" w:hAnsi="Arial" w:cs="Arial"/>
          <w:szCs w:val="22"/>
        </w:rPr>
        <w:t>προηγούμεν</w:t>
      </w:r>
      <w:r w:rsidRPr="00E84F92">
        <w:rPr>
          <w:rFonts w:ascii="Arial" w:hAnsi="Arial" w:cs="Arial"/>
          <w:szCs w:val="22"/>
          <w:lang w:val="el-GR"/>
        </w:rPr>
        <w:t>ες</w:t>
      </w:r>
      <w:r w:rsidRPr="00E84F92">
        <w:rPr>
          <w:rFonts w:ascii="Arial" w:hAnsi="Arial" w:cs="Arial"/>
          <w:szCs w:val="22"/>
        </w:rPr>
        <w:t xml:space="preserve"> κρίσε</w:t>
      </w:r>
      <w:r w:rsidRPr="00E84F92">
        <w:rPr>
          <w:rFonts w:ascii="Arial" w:hAnsi="Arial" w:cs="Arial"/>
          <w:szCs w:val="22"/>
          <w:lang w:val="el-GR"/>
        </w:rPr>
        <w:t>ις</w:t>
      </w:r>
      <w:r w:rsidRPr="00E84F92">
        <w:rPr>
          <w:rFonts w:ascii="Arial" w:hAnsi="Arial" w:cs="Arial"/>
          <w:szCs w:val="22"/>
        </w:rPr>
        <w:t xml:space="preserve"> ήταν εξαιρετικά πολύτιμη.  </w:t>
      </w:r>
    </w:p>
    <w:p w14:paraId="0F6687D5"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lastRenderedPageBreak/>
        <w:t>Η</w:t>
      </w:r>
      <w:r w:rsidRPr="00E84F92">
        <w:rPr>
          <w:rFonts w:ascii="Arial" w:hAnsi="Arial" w:cs="Arial"/>
          <w:szCs w:val="22"/>
        </w:rPr>
        <w:t xml:space="preserve"> νομισματική πολιτική πρέπει να παραμ</w:t>
      </w:r>
      <w:r w:rsidRPr="00E84F92">
        <w:rPr>
          <w:rFonts w:ascii="Arial" w:hAnsi="Arial" w:cs="Arial"/>
          <w:szCs w:val="22"/>
          <w:lang w:val="el-GR"/>
        </w:rPr>
        <w:t>είνει</w:t>
      </w:r>
      <w:r w:rsidRPr="00E84F92">
        <w:rPr>
          <w:rFonts w:ascii="Arial" w:hAnsi="Arial" w:cs="Arial"/>
          <w:szCs w:val="22"/>
        </w:rPr>
        <w:t xml:space="preserve"> </w:t>
      </w:r>
      <w:r w:rsidRPr="00E84F92">
        <w:rPr>
          <w:rFonts w:ascii="Arial" w:hAnsi="Arial" w:cs="Arial"/>
          <w:szCs w:val="22"/>
          <w:lang w:val="el-GR"/>
        </w:rPr>
        <w:t>συνετή</w:t>
      </w:r>
      <w:r w:rsidRPr="00E84F92">
        <w:rPr>
          <w:rFonts w:ascii="Arial" w:hAnsi="Arial" w:cs="Arial"/>
          <w:szCs w:val="22"/>
        </w:rPr>
        <w:t xml:space="preserve"> ώστε να είναι σε θέση να αντιμετωπί</w:t>
      </w:r>
      <w:r w:rsidRPr="00E84F92">
        <w:rPr>
          <w:rFonts w:ascii="Arial" w:hAnsi="Arial" w:cs="Arial"/>
          <w:szCs w:val="22"/>
          <w:lang w:val="el-GR"/>
        </w:rPr>
        <w:t>σ</w:t>
      </w:r>
      <w:r w:rsidRPr="00E84F92">
        <w:rPr>
          <w:rFonts w:ascii="Arial" w:hAnsi="Arial" w:cs="Arial"/>
          <w:szCs w:val="22"/>
        </w:rPr>
        <w:t>ει πιθαν</w:t>
      </w:r>
      <w:r w:rsidRPr="00E84F92">
        <w:rPr>
          <w:rFonts w:ascii="Arial" w:hAnsi="Arial" w:cs="Arial"/>
          <w:szCs w:val="22"/>
          <w:lang w:val="el-GR"/>
        </w:rPr>
        <w:t>ές</w:t>
      </w:r>
      <w:r w:rsidRPr="00E84F92">
        <w:rPr>
          <w:rFonts w:ascii="Arial" w:hAnsi="Arial" w:cs="Arial"/>
          <w:szCs w:val="22"/>
        </w:rPr>
        <w:t xml:space="preserve"> μελλοντικ</w:t>
      </w:r>
      <w:r w:rsidRPr="00E84F92">
        <w:rPr>
          <w:rFonts w:ascii="Arial" w:hAnsi="Arial" w:cs="Arial"/>
          <w:szCs w:val="22"/>
          <w:lang w:val="el-GR"/>
        </w:rPr>
        <w:t>ές</w:t>
      </w:r>
      <w:r w:rsidRPr="00E84F92">
        <w:rPr>
          <w:rFonts w:ascii="Arial" w:hAnsi="Arial" w:cs="Arial"/>
          <w:szCs w:val="22"/>
        </w:rPr>
        <w:t xml:space="preserve"> </w:t>
      </w:r>
      <w:r w:rsidRPr="00E84F92">
        <w:rPr>
          <w:rFonts w:ascii="Arial" w:hAnsi="Arial" w:cs="Arial"/>
          <w:szCs w:val="22"/>
          <w:lang w:val="el-GR"/>
        </w:rPr>
        <w:t>διαταράξεις της σ</w:t>
      </w:r>
      <w:r w:rsidRPr="00E84F92">
        <w:rPr>
          <w:rFonts w:ascii="Arial" w:hAnsi="Arial" w:cs="Arial"/>
          <w:szCs w:val="22"/>
        </w:rPr>
        <w:t>ταθερότητα</w:t>
      </w:r>
      <w:r w:rsidRPr="00E84F92">
        <w:rPr>
          <w:rFonts w:ascii="Arial" w:hAnsi="Arial" w:cs="Arial"/>
          <w:szCs w:val="22"/>
          <w:lang w:val="el-GR"/>
        </w:rPr>
        <w:t>ς</w:t>
      </w:r>
      <w:r w:rsidRPr="00E84F92">
        <w:rPr>
          <w:rFonts w:ascii="Arial" w:hAnsi="Arial" w:cs="Arial"/>
          <w:szCs w:val="22"/>
        </w:rPr>
        <w:t xml:space="preserve"> των τιμών, οποιασδήποτε φύσης και κατεύθυνσης.</w:t>
      </w:r>
    </w:p>
    <w:p w14:paraId="6B75B371"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Η άσκηση νομισματικής πολιτικής στη ζώνη του ευρώ πρέπει να λαμβάνει υπόψη τους εξής παράγοντες:</w:t>
      </w:r>
    </w:p>
    <w:p w14:paraId="1D71F7AE" w14:textId="77777777" w:rsidR="00E84F92" w:rsidRPr="00E84F92" w:rsidRDefault="00E84F92" w:rsidP="00E84F92">
      <w:pPr>
        <w:pStyle w:val="P68B1DB1-BodyTextIndent33"/>
        <w:numPr>
          <w:ilvl w:val="0"/>
          <w:numId w:val="10"/>
        </w:numPr>
        <w:spacing w:before="120" w:line="360" w:lineRule="auto"/>
        <w:jc w:val="both"/>
        <w:rPr>
          <w:rFonts w:ascii="Arial" w:hAnsi="Arial" w:cs="Arial"/>
          <w:szCs w:val="22"/>
        </w:rPr>
      </w:pPr>
      <w:r w:rsidRPr="00E84F92">
        <w:rPr>
          <w:rFonts w:ascii="Arial" w:hAnsi="Arial" w:cs="Arial"/>
          <w:szCs w:val="22"/>
          <w:lang w:val="el-GR"/>
        </w:rPr>
        <w:t>Η θεσμική αρχιτεκτονική της Ευρωπαϊκής Ένωσης είναι ακόμη ατελής σε διάφορους τομείς, όπως ιδίως η Τραπεζική Ένωση και η θέσπιση πλαισίου για τη διαχείριση τραπεζικών κρίσεων και την εγγύηση των καταθέσεων.</w:t>
      </w:r>
    </w:p>
    <w:p w14:paraId="38378AFB" w14:textId="77777777" w:rsidR="00E84F92" w:rsidRPr="00E84F92" w:rsidRDefault="00E84F92" w:rsidP="00E84F92">
      <w:pPr>
        <w:pStyle w:val="P68B1DB1-BodyTextIndent33"/>
        <w:numPr>
          <w:ilvl w:val="0"/>
          <w:numId w:val="10"/>
        </w:numPr>
        <w:spacing w:before="120" w:line="360" w:lineRule="auto"/>
        <w:jc w:val="both"/>
        <w:rPr>
          <w:rFonts w:ascii="Arial" w:hAnsi="Arial" w:cs="Arial"/>
          <w:szCs w:val="22"/>
        </w:rPr>
      </w:pPr>
      <w:r w:rsidRPr="00E84F92">
        <w:rPr>
          <w:rFonts w:ascii="Arial" w:hAnsi="Arial" w:cs="Arial"/>
          <w:szCs w:val="22"/>
          <w:lang w:val="el-GR"/>
        </w:rPr>
        <w:t xml:space="preserve">Τα διδάγματα που αντλήθηκαν από τις προηγηθείσες κρίσεις: η νομισματική πολιτική πρέπει να παραμένει ευέλικτη, ώστε να διασφαλίζει την ομαλή μετάδοσή της στη ζώνη του ευρώ. </w:t>
      </w:r>
    </w:p>
    <w:p w14:paraId="45DB7E93" w14:textId="77777777" w:rsidR="00E84F92" w:rsidRPr="00E84F92" w:rsidRDefault="00E84F92" w:rsidP="00E84F92">
      <w:pPr>
        <w:pStyle w:val="P68B1DB1-BodyTextIndent33"/>
        <w:numPr>
          <w:ilvl w:val="0"/>
          <w:numId w:val="10"/>
        </w:numPr>
        <w:spacing w:before="120" w:line="360" w:lineRule="auto"/>
        <w:jc w:val="both"/>
        <w:rPr>
          <w:rFonts w:ascii="Arial" w:hAnsi="Arial" w:cs="Arial"/>
          <w:szCs w:val="22"/>
        </w:rPr>
      </w:pPr>
      <w:r w:rsidRPr="00E84F92">
        <w:rPr>
          <w:rFonts w:ascii="Arial" w:hAnsi="Arial" w:cs="Arial"/>
          <w:szCs w:val="22"/>
          <w:lang w:val="el-GR" w:eastAsia="el-GR"/>
        </w:rPr>
        <w:t>Τ</w:t>
      </w:r>
      <w:r w:rsidRPr="00E84F92">
        <w:rPr>
          <w:rFonts w:ascii="Arial" w:hAnsi="Arial" w:cs="Arial"/>
          <w:szCs w:val="22"/>
          <w:lang w:eastAsia="el-GR"/>
        </w:rPr>
        <w:t>ο τραπεζικό σύστημα της ζώνης του ευρώ παραμένει κατακερματισμένο μεταξύ και εντός των χωρών. Η νομισματική πολιτική μπορεί να διαδραματίσει σημαντικό ρόλο στον περιορισμό του κινδύνου δυσμενών εξελίξεων στις αγορές και των συναφών κινδύνων κατακερματισμού, συμβάλλοντας έτσι στη διαφύλαξη της χρηματοπιστωτικής σταθερότητας</w:t>
      </w:r>
      <w:r w:rsidRPr="00E84F92">
        <w:rPr>
          <w:rFonts w:ascii="Arial" w:hAnsi="Arial" w:cs="Arial"/>
          <w:szCs w:val="22"/>
          <w:lang w:val="el-GR" w:eastAsia="el-GR"/>
        </w:rPr>
        <w:t>.</w:t>
      </w:r>
    </w:p>
    <w:p w14:paraId="10939A82" w14:textId="77777777" w:rsidR="00E84F92" w:rsidRPr="00E84F92" w:rsidRDefault="00E84F92" w:rsidP="00E84F92">
      <w:pPr>
        <w:pStyle w:val="P68B1DB1-BodyTextIndent33"/>
        <w:numPr>
          <w:ilvl w:val="0"/>
          <w:numId w:val="10"/>
        </w:numPr>
        <w:spacing w:before="120" w:line="360" w:lineRule="auto"/>
        <w:jc w:val="both"/>
        <w:rPr>
          <w:rFonts w:ascii="Arial" w:hAnsi="Arial" w:cs="Arial"/>
          <w:szCs w:val="22"/>
        </w:rPr>
      </w:pPr>
      <w:r w:rsidRPr="00E84F92">
        <w:rPr>
          <w:rFonts w:ascii="Arial" w:hAnsi="Arial" w:cs="Arial"/>
          <w:szCs w:val="22"/>
          <w:lang w:val="el-GR" w:eastAsia="el-GR"/>
        </w:rPr>
        <w:t>Η</w:t>
      </w:r>
      <w:r w:rsidRPr="00E84F92">
        <w:rPr>
          <w:rFonts w:ascii="Arial" w:hAnsi="Arial" w:cs="Arial"/>
          <w:szCs w:val="22"/>
          <w:lang w:eastAsia="el-GR"/>
        </w:rPr>
        <w:t xml:space="preserve"> αβεβαιότητα παραμένει εξαιρετικά υψηλή, υπό την επίδραση των δυσμενών διεθνών και γεωπολιτικών εξελίξεων</w:t>
      </w:r>
      <w:r w:rsidRPr="00E84F92">
        <w:rPr>
          <w:rFonts w:ascii="Arial" w:hAnsi="Arial" w:cs="Arial"/>
          <w:szCs w:val="22"/>
          <w:lang w:val="el-GR" w:eastAsia="el-GR"/>
        </w:rPr>
        <w:t>.</w:t>
      </w:r>
      <w:r w:rsidRPr="00E84F92">
        <w:rPr>
          <w:rFonts w:ascii="Arial" w:hAnsi="Arial" w:cs="Arial"/>
          <w:szCs w:val="22"/>
        </w:rPr>
        <w:t xml:space="preserve"> </w:t>
      </w:r>
    </w:p>
    <w:p w14:paraId="099B1D2F" w14:textId="77777777" w:rsidR="00E84F92" w:rsidRPr="00E84F92" w:rsidRDefault="00E84F92" w:rsidP="00E84F92">
      <w:pPr>
        <w:pStyle w:val="ListParagraph"/>
        <w:numPr>
          <w:ilvl w:val="0"/>
          <w:numId w:val="11"/>
        </w:numPr>
        <w:spacing w:after="120" w:line="360" w:lineRule="auto"/>
        <w:contextualSpacing w:val="0"/>
        <w:jc w:val="both"/>
        <w:rPr>
          <w:sz w:val="22"/>
          <w:szCs w:val="22"/>
          <w:lang w:eastAsia="el-GR"/>
        </w:rPr>
      </w:pPr>
      <w:r w:rsidRPr="00E84F92">
        <w:rPr>
          <w:sz w:val="22"/>
          <w:szCs w:val="22"/>
          <w:lang w:val="el-GR" w:eastAsia="el-GR"/>
        </w:rPr>
        <w:t xml:space="preserve">Δύο βασικές αρχές θα πρέπει να αποτελούν γνώμονα των ενεργειών μας: </w:t>
      </w:r>
      <w:r w:rsidRPr="00E84F92">
        <w:rPr>
          <w:sz w:val="22"/>
          <w:szCs w:val="22"/>
          <w:lang w:eastAsia="el-GR"/>
        </w:rPr>
        <w:t>ο ρεαλισμός και η σταδιακή προσέγγιση.</w:t>
      </w:r>
    </w:p>
    <w:p w14:paraId="1EBB5125" w14:textId="77777777" w:rsidR="00E84F92" w:rsidRPr="00E84F92" w:rsidRDefault="00E84F92" w:rsidP="00E84F92">
      <w:pPr>
        <w:pStyle w:val="ListParagraph"/>
        <w:numPr>
          <w:ilvl w:val="0"/>
          <w:numId w:val="11"/>
        </w:numPr>
        <w:spacing w:after="120" w:line="360" w:lineRule="auto"/>
        <w:contextualSpacing w:val="0"/>
        <w:jc w:val="both"/>
        <w:rPr>
          <w:sz w:val="22"/>
          <w:szCs w:val="22"/>
          <w:lang w:eastAsia="el-GR"/>
        </w:rPr>
      </w:pPr>
      <w:r w:rsidRPr="00E84F92">
        <w:rPr>
          <w:sz w:val="22"/>
          <w:szCs w:val="22"/>
          <w:lang w:eastAsia="el-GR"/>
        </w:rPr>
        <w:t>Η αντίδραση της νομισματικής πολιτικής στις νέες περιστάσεις θα πρέπει να βασίζεται στα διαθέσιμα οικονομικά στοιχεία (</w:t>
      </w:r>
      <w:r w:rsidRPr="00E84F92">
        <w:rPr>
          <w:sz w:val="22"/>
          <w:szCs w:val="22"/>
          <w:lang w:val="en-US" w:eastAsia="el-GR"/>
        </w:rPr>
        <w:t>data</w:t>
      </w:r>
      <w:r w:rsidRPr="00E84F92">
        <w:rPr>
          <w:sz w:val="22"/>
          <w:szCs w:val="22"/>
          <w:lang w:eastAsia="el-GR"/>
        </w:rPr>
        <w:t>-</w:t>
      </w:r>
      <w:r w:rsidRPr="00E84F92">
        <w:rPr>
          <w:sz w:val="22"/>
          <w:szCs w:val="22"/>
          <w:lang w:val="en-US" w:eastAsia="el-GR"/>
        </w:rPr>
        <w:t>dependent</w:t>
      </w:r>
      <w:r w:rsidRPr="00E84F92">
        <w:rPr>
          <w:sz w:val="22"/>
          <w:szCs w:val="22"/>
          <w:lang w:eastAsia="el-GR"/>
        </w:rPr>
        <w:t>) και στις εκάστοτε συνθήκες (</w:t>
      </w:r>
      <w:r w:rsidRPr="00E84F92">
        <w:rPr>
          <w:sz w:val="22"/>
          <w:szCs w:val="22"/>
          <w:lang w:val="en-US" w:eastAsia="el-GR"/>
        </w:rPr>
        <w:t>state</w:t>
      </w:r>
      <w:r w:rsidRPr="00E84F92">
        <w:rPr>
          <w:sz w:val="22"/>
          <w:szCs w:val="22"/>
          <w:lang w:eastAsia="el-GR"/>
        </w:rPr>
        <w:t>-</w:t>
      </w:r>
      <w:r w:rsidRPr="00E84F92">
        <w:rPr>
          <w:sz w:val="22"/>
          <w:szCs w:val="22"/>
          <w:lang w:val="en-US" w:eastAsia="el-GR"/>
        </w:rPr>
        <w:t>dependent</w:t>
      </w:r>
      <w:r w:rsidRPr="00E84F92">
        <w:rPr>
          <w:sz w:val="22"/>
          <w:szCs w:val="22"/>
          <w:lang w:eastAsia="el-GR"/>
        </w:rPr>
        <w:t xml:space="preserve">). Με άλλα λόγια, η αξιολόγηση σύμφωνα με την οποία θα αποφασίζουμε τα επόμενα βήματα θα πρέπει να είναι συνεχής και διεξοδική. </w:t>
      </w:r>
    </w:p>
    <w:p w14:paraId="1324AD58" w14:textId="77777777" w:rsidR="00E84F92" w:rsidRPr="00E84F92" w:rsidRDefault="00E84F92" w:rsidP="00E84F92">
      <w:pPr>
        <w:pStyle w:val="ListParagraph"/>
        <w:numPr>
          <w:ilvl w:val="0"/>
          <w:numId w:val="11"/>
        </w:numPr>
        <w:spacing w:before="120" w:after="120" w:line="360" w:lineRule="auto"/>
        <w:contextualSpacing w:val="0"/>
        <w:jc w:val="both"/>
        <w:rPr>
          <w:sz w:val="22"/>
          <w:szCs w:val="22"/>
        </w:rPr>
      </w:pPr>
      <w:r w:rsidRPr="00E84F92">
        <w:rPr>
          <w:sz w:val="22"/>
          <w:szCs w:val="22"/>
          <w:lang w:val="el-GR" w:eastAsia="el-GR"/>
        </w:rPr>
        <w:t>Ο</w:t>
      </w:r>
      <w:r w:rsidRPr="00E84F92">
        <w:rPr>
          <w:sz w:val="22"/>
          <w:szCs w:val="22"/>
          <w:lang w:eastAsia="el-GR"/>
        </w:rPr>
        <w:t>ι όποιες προσαρμογές στην άσκηση νομισματικής πολιτικής πρέπει να ακολουθούν μια σταδιακή προσέγγιση ώστε να μην προκαλούν ανεπιθύμητες διακυμάνσεις στις αγορές.</w:t>
      </w:r>
      <w:r w:rsidRPr="00E84F92">
        <w:rPr>
          <w:sz w:val="22"/>
          <w:szCs w:val="22"/>
          <w:lang w:val="el-GR" w:eastAsia="el-GR"/>
        </w:rPr>
        <w:t xml:space="preserve"> </w:t>
      </w:r>
      <w:r w:rsidRPr="00E84F92">
        <w:rPr>
          <w:sz w:val="22"/>
          <w:szCs w:val="22"/>
          <w:lang w:eastAsia="el-GR"/>
        </w:rPr>
        <w:t>Αυτό ισχύει όχι μόνο για τις αποφάσεις περί επιτοκίων, αλλά και για εξελίξεις που σχετίζονται με το αποτύπωμα της κεντρικής τράπεζας στις αγορές (δηλ. το μέγεθος του ισολογισμού του Ευρωσυστήματος)</w:t>
      </w:r>
      <w:r w:rsidRPr="00E84F92">
        <w:rPr>
          <w:sz w:val="22"/>
          <w:szCs w:val="22"/>
          <w:lang w:val="el-GR" w:eastAsia="el-GR"/>
        </w:rPr>
        <w:t>.</w:t>
      </w:r>
    </w:p>
    <w:p w14:paraId="011AC597" w14:textId="77777777" w:rsidR="00E84F92" w:rsidRPr="00E84F92" w:rsidRDefault="00E84F92" w:rsidP="00E84F92">
      <w:pPr>
        <w:pStyle w:val="ListParagraph"/>
        <w:numPr>
          <w:ilvl w:val="0"/>
          <w:numId w:val="11"/>
        </w:numPr>
        <w:spacing w:before="120" w:after="120" w:line="360" w:lineRule="auto"/>
        <w:contextualSpacing w:val="0"/>
        <w:jc w:val="both"/>
        <w:rPr>
          <w:sz w:val="22"/>
          <w:szCs w:val="22"/>
        </w:rPr>
      </w:pPr>
      <w:r w:rsidRPr="00E84F92">
        <w:rPr>
          <w:sz w:val="22"/>
          <w:szCs w:val="22"/>
          <w:lang w:val="el-GR" w:eastAsia="el-GR"/>
        </w:rPr>
        <w:t xml:space="preserve">Το λειτουργικό πλαίσιο της νομισματικής πολιτικής, το οποίο τελεί υπό αναθεώρηση από την ΕΚΤ, θα στηρίζει την κατεύθυνση της νομισματικής πολιτικής και θα λαμβάνει υπόψη την εμπειρία που έχουμε αποκτήσει μέχρι τώρα. </w:t>
      </w:r>
    </w:p>
    <w:p w14:paraId="7B1AE34E" w14:textId="77777777" w:rsidR="00E84F92" w:rsidRPr="00E84F92" w:rsidRDefault="00E84F92" w:rsidP="00E84F92">
      <w:pPr>
        <w:pStyle w:val="ListParagraph"/>
        <w:numPr>
          <w:ilvl w:val="0"/>
          <w:numId w:val="11"/>
        </w:numPr>
        <w:spacing w:before="120" w:after="120" w:line="360" w:lineRule="auto"/>
        <w:jc w:val="both"/>
        <w:rPr>
          <w:sz w:val="22"/>
          <w:szCs w:val="22"/>
        </w:rPr>
      </w:pPr>
      <w:r w:rsidRPr="00E84F92">
        <w:rPr>
          <w:sz w:val="22"/>
          <w:szCs w:val="22"/>
          <w:lang w:val="el-GR"/>
        </w:rPr>
        <w:lastRenderedPageBreak/>
        <w:t>Έχει σημειωθεί</w:t>
      </w:r>
      <w:r w:rsidRPr="00E84F92">
        <w:rPr>
          <w:sz w:val="22"/>
          <w:szCs w:val="22"/>
        </w:rPr>
        <w:t xml:space="preserve"> σημαντική πρόοδος στη μείωση του πληθωρισμού στη ζώνη του ευρώ (ο πληθωρισμός τον Οκτώβριο του 2022 </w:t>
      </w:r>
      <w:r w:rsidRPr="00E84F92">
        <w:rPr>
          <w:sz w:val="22"/>
          <w:szCs w:val="22"/>
          <w:lang w:val="el-GR"/>
        </w:rPr>
        <w:t>είχε κορυφωθεί</w:t>
      </w:r>
      <w:r w:rsidRPr="00E84F92">
        <w:rPr>
          <w:sz w:val="22"/>
          <w:szCs w:val="22"/>
        </w:rPr>
        <w:t xml:space="preserve"> σ</w:t>
      </w:r>
      <w:r w:rsidRPr="00E84F92">
        <w:rPr>
          <w:sz w:val="22"/>
          <w:szCs w:val="22"/>
          <w:lang w:val="el-GR"/>
        </w:rPr>
        <w:t>ε</w:t>
      </w:r>
      <w:r w:rsidRPr="00E84F92">
        <w:rPr>
          <w:sz w:val="22"/>
          <w:szCs w:val="22"/>
        </w:rPr>
        <w:t xml:space="preserve"> 10,6%, ενώ τον Ιανουάριο του 2024 διαμορφώθηκε σ</w:t>
      </w:r>
      <w:r w:rsidRPr="00E84F92">
        <w:rPr>
          <w:sz w:val="22"/>
          <w:szCs w:val="22"/>
          <w:lang w:val="el-GR"/>
        </w:rPr>
        <w:t>ε</w:t>
      </w:r>
      <w:r w:rsidRPr="00E84F92">
        <w:rPr>
          <w:sz w:val="22"/>
          <w:szCs w:val="22"/>
        </w:rPr>
        <w:t xml:space="preserve"> 2,8%). Αυτή η πρόοδος έχει επιτευχθεί χωρίς να </w:t>
      </w:r>
      <w:r w:rsidRPr="00E84F92">
        <w:rPr>
          <w:sz w:val="22"/>
          <w:szCs w:val="22"/>
          <w:lang w:val="el-GR"/>
        </w:rPr>
        <w:t xml:space="preserve">προκληθεί </w:t>
      </w:r>
      <w:r w:rsidRPr="00E84F92">
        <w:rPr>
          <w:sz w:val="22"/>
          <w:szCs w:val="22"/>
        </w:rPr>
        <w:t xml:space="preserve">ύφεση ή χρηματοπιστωτική αστάθεια, υποδηλώνοντας μια </w:t>
      </w:r>
      <w:r w:rsidRPr="00E84F92">
        <w:rPr>
          <w:sz w:val="22"/>
          <w:szCs w:val="22"/>
          <w:lang w:val="el-GR"/>
        </w:rPr>
        <w:t>“ομαλή</w:t>
      </w:r>
      <w:r w:rsidRPr="00E84F92">
        <w:rPr>
          <w:sz w:val="22"/>
          <w:szCs w:val="22"/>
        </w:rPr>
        <w:t xml:space="preserve"> προσγείωση</w:t>
      </w:r>
      <w:r w:rsidRPr="00E84F92">
        <w:rPr>
          <w:sz w:val="22"/>
          <w:szCs w:val="22"/>
          <w:lang w:val="el-GR"/>
        </w:rPr>
        <w:t>”</w:t>
      </w:r>
      <w:r w:rsidRPr="00E84F92">
        <w:rPr>
          <w:sz w:val="22"/>
          <w:szCs w:val="22"/>
        </w:rPr>
        <w:t>.</w:t>
      </w:r>
    </w:p>
    <w:p w14:paraId="518F230B" w14:textId="77777777" w:rsidR="00E84F92" w:rsidRPr="00E84F92" w:rsidRDefault="00E84F92" w:rsidP="00E84F92">
      <w:pPr>
        <w:pStyle w:val="ListParagraph"/>
        <w:numPr>
          <w:ilvl w:val="0"/>
          <w:numId w:val="11"/>
        </w:numPr>
        <w:spacing w:before="120" w:after="120" w:line="360" w:lineRule="auto"/>
        <w:jc w:val="both"/>
        <w:rPr>
          <w:sz w:val="22"/>
          <w:szCs w:val="22"/>
        </w:rPr>
      </w:pPr>
      <w:r w:rsidRPr="00E84F92">
        <w:rPr>
          <w:sz w:val="22"/>
          <w:szCs w:val="22"/>
        </w:rPr>
        <w:t xml:space="preserve">Ωστόσο, η μάχη με τον πληθωρισμό δεν έχει κερδηθεί ακόμη, ενώ η αβεβαιότητα είναι πολύ υψηλή. Η ΕΚΤ θα προχωρήσει </w:t>
      </w:r>
      <w:r w:rsidRPr="00E84F92">
        <w:rPr>
          <w:sz w:val="22"/>
          <w:szCs w:val="22"/>
          <w:lang w:val="el-GR"/>
        </w:rPr>
        <w:t>με</w:t>
      </w:r>
      <w:r w:rsidRPr="00E84F92">
        <w:rPr>
          <w:sz w:val="22"/>
          <w:szCs w:val="22"/>
        </w:rPr>
        <w:t xml:space="preserve"> προσεκτικά βήματα προκειμένου να μην τεθεί σε κίνδυνο η πρόοδος που έχει επιτευχθεί μέχρι τώρα. Είναι αλήθεια ότι, σύμφωνα με τα διαθέσιμα στοιχεία, ο πληθωρισμός </w:t>
      </w:r>
      <w:r w:rsidRPr="00E84F92">
        <w:rPr>
          <w:sz w:val="22"/>
          <w:szCs w:val="22"/>
          <w:lang w:val="el-GR"/>
        </w:rPr>
        <w:t xml:space="preserve">αποκλιμακώνεται </w:t>
      </w:r>
      <w:r w:rsidRPr="00E84F92">
        <w:rPr>
          <w:sz w:val="22"/>
          <w:szCs w:val="22"/>
        </w:rPr>
        <w:t xml:space="preserve">ταχύτερα </w:t>
      </w:r>
      <w:r w:rsidRPr="00E84F92">
        <w:rPr>
          <w:sz w:val="22"/>
          <w:szCs w:val="22"/>
          <w:lang w:val="el-GR"/>
        </w:rPr>
        <w:t>σε σύγκριση με τις μακροοικονομικές προβολές του Δεκεμβρίου</w:t>
      </w:r>
      <w:r w:rsidRPr="00E84F92">
        <w:rPr>
          <w:sz w:val="22"/>
          <w:szCs w:val="22"/>
        </w:rPr>
        <w:t xml:space="preserve"> και είναι πολύ πιθανό να φθ</w:t>
      </w:r>
      <w:r w:rsidRPr="00E84F92">
        <w:rPr>
          <w:sz w:val="22"/>
          <w:szCs w:val="22"/>
          <w:lang w:val="el-GR"/>
        </w:rPr>
        <w:t>άσουμε π</w:t>
      </w:r>
      <w:r w:rsidRPr="00E84F92">
        <w:rPr>
          <w:sz w:val="22"/>
          <w:szCs w:val="22"/>
        </w:rPr>
        <w:t xml:space="preserve">ολύ κοντά </w:t>
      </w:r>
      <w:r w:rsidRPr="00E84F92">
        <w:rPr>
          <w:sz w:val="22"/>
          <w:szCs w:val="22"/>
          <w:lang w:val="el-GR"/>
        </w:rPr>
        <w:t>σ</w:t>
      </w:r>
      <w:r w:rsidRPr="00E84F92">
        <w:rPr>
          <w:sz w:val="22"/>
          <w:szCs w:val="22"/>
        </w:rPr>
        <w:t xml:space="preserve">τον στόχο μας για πληθωρισμό </w:t>
      </w:r>
      <w:r w:rsidRPr="00E84F92">
        <w:rPr>
          <w:sz w:val="22"/>
          <w:szCs w:val="22"/>
          <w:lang w:val="el-GR"/>
        </w:rPr>
        <w:t>2%</w:t>
      </w:r>
      <w:r w:rsidRPr="00E84F92">
        <w:rPr>
          <w:sz w:val="22"/>
          <w:szCs w:val="22"/>
        </w:rPr>
        <w:t xml:space="preserve"> το φθινόπωρο του τρέχοντος έτους.</w:t>
      </w:r>
    </w:p>
    <w:p w14:paraId="7B403E2D" w14:textId="77777777" w:rsidR="00E84F92" w:rsidRPr="00E84F92" w:rsidRDefault="00E84F92" w:rsidP="00E84F92">
      <w:pPr>
        <w:pStyle w:val="ListParagraph"/>
        <w:numPr>
          <w:ilvl w:val="0"/>
          <w:numId w:val="11"/>
        </w:numPr>
        <w:spacing w:before="120" w:after="120" w:line="360" w:lineRule="auto"/>
        <w:jc w:val="both"/>
        <w:rPr>
          <w:sz w:val="22"/>
          <w:szCs w:val="22"/>
        </w:rPr>
      </w:pPr>
      <w:r w:rsidRPr="00E84F92">
        <w:rPr>
          <w:sz w:val="22"/>
          <w:szCs w:val="22"/>
        </w:rPr>
        <w:t>Επίσης, η πρόσφατη ελαφρά επιβράδυνση των μισθ</w:t>
      </w:r>
      <w:r w:rsidRPr="00E84F92">
        <w:rPr>
          <w:sz w:val="22"/>
          <w:szCs w:val="22"/>
          <w:lang w:val="el-GR"/>
        </w:rPr>
        <w:t>ολογικών αυξήσεων</w:t>
      </w:r>
      <w:r w:rsidRPr="00E84F92">
        <w:rPr>
          <w:sz w:val="22"/>
          <w:szCs w:val="22"/>
        </w:rPr>
        <w:t xml:space="preserve"> είναι ενθαρρυντική και πολλά θα εξαρτηθούν από την εξέλιξη των περιθωρίων κέρδους, καθώς οι εξελίξεις στο συνολικό κόστος, συμπεριλαμβανομένου του ενεργειακού κόστους, υποδηλώνουν περαιτέρω </w:t>
      </w:r>
      <w:r w:rsidRPr="00E84F92">
        <w:rPr>
          <w:sz w:val="22"/>
          <w:szCs w:val="22"/>
          <w:lang w:val="el-GR"/>
        </w:rPr>
        <w:t>εξασθένηση</w:t>
      </w:r>
      <w:r w:rsidRPr="00E84F92">
        <w:rPr>
          <w:sz w:val="22"/>
          <w:szCs w:val="22"/>
        </w:rPr>
        <w:t xml:space="preserve"> των </w:t>
      </w:r>
      <w:r w:rsidRPr="00E84F92">
        <w:rPr>
          <w:sz w:val="22"/>
          <w:szCs w:val="22"/>
          <w:lang w:val="el-GR"/>
        </w:rPr>
        <w:t xml:space="preserve">πληθωριστικών </w:t>
      </w:r>
      <w:r w:rsidRPr="00E84F92">
        <w:rPr>
          <w:sz w:val="22"/>
          <w:szCs w:val="22"/>
        </w:rPr>
        <w:t>πιέσεων βραχυπρόθεσμα.</w:t>
      </w:r>
    </w:p>
    <w:p w14:paraId="6A9E34BD" w14:textId="77777777" w:rsidR="00E84F92" w:rsidRPr="00E84F92" w:rsidRDefault="00E84F92" w:rsidP="00E84F92">
      <w:pPr>
        <w:pStyle w:val="ListParagraph"/>
        <w:numPr>
          <w:ilvl w:val="0"/>
          <w:numId w:val="11"/>
        </w:numPr>
        <w:spacing w:before="120" w:after="120" w:line="360" w:lineRule="auto"/>
        <w:jc w:val="both"/>
        <w:rPr>
          <w:sz w:val="22"/>
          <w:szCs w:val="22"/>
        </w:rPr>
      </w:pPr>
      <w:r w:rsidRPr="00E84F92">
        <w:rPr>
          <w:sz w:val="22"/>
          <w:szCs w:val="22"/>
        </w:rPr>
        <w:t xml:space="preserve">Κατά τη γνώμη μου, το τέλος του πρώτου εξαμήνου του 2024 θα </w:t>
      </w:r>
      <w:r w:rsidRPr="00E84F92">
        <w:rPr>
          <w:sz w:val="22"/>
          <w:szCs w:val="22"/>
          <w:lang w:val="el-GR"/>
        </w:rPr>
        <w:t>ήταν ίσως ο πιο κατάλληλος χρόνος γ</w:t>
      </w:r>
      <w:r w:rsidRPr="00E84F92">
        <w:rPr>
          <w:sz w:val="22"/>
          <w:szCs w:val="22"/>
        </w:rPr>
        <w:t xml:space="preserve">ια την πρώτη μείωση των επιτοκίων μας, </w:t>
      </w:r>
      <w:r w:rsidRPr="00E84F92">
        <w:rPr>
          <w:sz w:val="22"/>
          <w:szCs w:val="22"/>
          <w:lang w:val="el-GR"/>
        </w:rPr>
        <w:t xml:space="preserve">εφόσον βεβαίως </w:t>
      </w:r>
      <w:r w:rsidRPr="00E84F92">
        <w:rPr>
          <w:sz w:val="22"/>
          <w:szCs w:val="22"/>
        </w:rPr>
        <w:t>τα εισερχόμενα δεδομένα δεν αλλά</w:t>
      </w:r>
      <w:r w:rsidRPr="00E84F92">
        <w:rPr>
          <w:sz w:val="22"/>
          <w:szCs w:val="22"/>
          <w:lang w:val="el-GR"/>
        </w:rPr>
        <w:t>ξ</w:t>
      </w:r>
      <w:r w:rsidRPr="00E84F92">
        <w:rPr>
          <w:sz w:val="22"/>
          <w:szCs w:val="22"/>
        </w:rPr>
        <w:t>ουν την εικόνα που μόλις περιέγραψα.</w:t>
      </w:r>
    </w:p>
    <w:p w14:paraId="525A222E" w14:textId="77777777" w:rsidR="00E84F92" w:rsidRPr="00E84F92" w:rsidRDefault="00E84F92" w:rsidP="00E84F92">
      <w:pPr>
        <w:pStyle w:val="ListParagraph"/>
        <w:numPr>
          <w:ilvl w:val="0"/>
          <w:numId w:val="11"/>
        </w:numPr>
        <w:spacing w:before="120" w:after="120" w:line="360" w:lineRule="auto"/>
        <w:contextualSpacing w:val="0"/>
        <w:jc w:val="both"/>
        <w:rPr>
          <w:sz w:val="22"/>
          <w:szCs w:val="22"/>
        </w:rPr>
      </w:pPr>
      <w:r w:rsidRPr="00E84F92">
        <w:rPr>
          <w:sz w:val="22"/>
          <w:szCs w:val="22"/>
          <w:lang w:val="el-GR"/>
        </w:rPr>
        <w:t xml:space="preserve">Τα ζητήματα </w:t>
      </w:r>
      <w:r w:rsidRPr="00E84F92">
        <w:rPr>
          <w:sz w:val="22"/>
          <w:szCs w:val="22"/>
        </w:rPr>
        <w:t xml:space="preserve">χρηματοπιστωτικής σταθερότητας πρέπει να συνεχίσουν να λαμβάνονται υπόψη από τους φορείς χάραξης νομισματικής πολιτικής </w:t>
      </w:r>
      <w:r w:rsidRPr="00E84F92">
        <w:rPr>
          <w:sz w:val="22"/>
          <w:szCs w:val="22"/>
          <w:lang w:val="el-GR"/>
        </w:rPr>
        <w:t xml:space="preserve">κατά </w:t>
      </w:r>
      <w:r w:rsidRPr="00E84F92">
        <w:rPr>
          <w:sz w:val="22"/>
          <w:szCs w:val="22"/>
        </w:rPr>
        <w:t>τη λήψη αποφάσεων</w:t>
      </w:r>
      <w:r w:rsidRPr="00E84F92">
        <w:rPr>
          <w:sz w:val="22"/>
          <w:szCs w:val="22"/>
          <w:lang w:val="el-GR"/>
        </w:rPr>
        <w:t xml:space="preserve"> στο πλαίσιο της </w:t>
      </w:r>
      <w:r w:rsidRPr="00E84F92">
        <w:rPr>
          <w:sz w:val="22"/>
          <w:szCs w:val="22"/>
        </w:rPr>
        <w:t>επιδίωξ</w:t>
      </w:r>
      <w:r w:rsidRPr="00E84F92">
        <w:rPr>
          <w:sz w:val="22"/>
          <w:szCs w:val="22"/>
          <w:lang w:val="el-GR"/>
        </w:rPr>
        <w:t>ης της σ</w:t>
      </w:r>
      <w:r w:rsidRPr="00E84F92">
        <w:rPr>
          <w:sz w:val="22"/>
          <w:szCs w:val="22"/>
        </w:rPr>
        <w:t>ταθερότητα</w:t>
      </w:r>
      <w:r w:rsidRPr="00E84F92">
        <w:rPr>
          <w:sz w:val="22"/>
          <w:szCs w:val="22"/>
          <w:lang w:val="el-GR"/>
        </w:rPr>
        <w:t>ς</w:t>
      </w:r>
      <w:r w:rsidRPr="00E84F92">
        <w:rPr>
          <w:sz w:val="22"/>
          <w:szCs w:val="22"/>
        </w:rPr>
        <w:t xml:space="preserve"> των τιμών.</w:t>
      </w:r>
    </w:p>
    <w:p w14:paraId="66DE31A6" w14:textId="77777777" w:rsidR="00E84F92" w:rsidRPr="00E84F92" w:rsidRDefault="00E84F92" w:rsidP="00E84F92">
      <w:pPr>
        <w:pStyle w:val="ListParagraph"/>
        <w:numPr>
          <w:ilvl w:val="0"/>
          <w:numId w:val="11"/>
        </w:numPr>
        <w:spacing w:before="120" w:after="120" w:line="360" w:lineRule="auto"/>
        <w:contextualSpacing w:val="0"/>
        <w:jc w:val="both"/>
        <w:rPr>
          <w:sz w:val="22"/>
          <w:szCs w:val="22"/>
        </w:rPr>
      </w:pPr>
      <w:r w:rsidRPr="00E84F92">
        <w:rPr>
          <w:sz w:val="22"/>
          <w:szCs w:val="22"/>
        </w:rPr>
        <w:t xml:space="preserve">Η άποψη αυτή αντανακλάται στην επανεξέταση της στρατηγικής νομισματικής πολιτικής της ΕΚΤ το 2021, </w:t>
      </w:r>
      <w:r w:rsidRPr="00E84F92">
        <w:rPr>
          <w:sz w:val="22"/>
          <w:szCs w:val="22"/>
          <w:lang w:val="el-GR"/>
        </w:rPr>
        <w:t xml:space="preserve">όπου αναγνωρίστηκε </w:t>
      </w:r>
      <w:r w:rsidRPr="00E84F92">
        <w:rPr>
          <w:sz w:val="22"/>
          <w:szCs w:val="22"/>
        </w:rPr>
        <w:t>ότι η χρηματοπιστωτική σταθερότητα αποτελεί προϋπόθεση για τη σταθερότητα των τιμών και αντιστρόφως.</w:t>
      </w:r>
      <w:r w:rsidRPr="00E84F92">
        <w:rPr>
          <w:sz w:val="22"/>
          <w:szCs w:val="22"/>
          <w:lang w:val="el-GR"/>
        </w:rPr>
        <w:t xml:space="preserve"> </w:t>
      </w:r>
      <w:r w:rsidRPr="00E84F92">
        <w:rPr>
          <w:sz w:val="22"/>
          <w:szCs w:val="22"/>
        </w:rPr>
        <w:t xml:space="preserve">Πράγματι, στο πλαίσιο της </w:t>
      </w:r>
      <w:r w:rsidRPr="00E84F92">
        <w:rPr>
          <w:sz w:val="22"/>
          <w:szCs w:val="22"/>
          <w:lang w:val="el-GR"/>
        </w:rPr>
        <w:t xml:space="preserve">επανεξέτασης </w:t>
      </w:r>
      <w:r w:rsidRPr="00E84F92">
        <w:rPr>
          <w:sz w:val="22"/>
          <w:szCs w:val="22"/>
        </w:rPr>
        <w:t xml:space="preserve">της στρατηγικής μας, αξιολογήσαμε ότι </w:t>
      </w:r>
      <w:r w:rsidRPr="00E84F92">
        <w:rPr>
          <w:sz w:val="22"/>
          <w:szCs w:val="22"/>
          <w:lang w:val="el-GR"/>
        </w:rPr>
        <w:t>η δέσμη</w:t>
      </w:r>
      <w:r w:rsidRPr="00E84F92">
        <w:rPr>
          <w:sz w:val="22"/>
          <w:szCs w:val="22"/>
        </w:rPr>
        <w:t xml:space="preserve"> συμβατικών και μη συμβατικών </w:t>
      </w:r>
      <w:r w:rsidRPr="00E84F92">
        <w:rPr>
          <w:sz w:val="22"/>
          <w:szCs w:val="22"/>
          <w:lang w:val="el-GR"/>
        </w:rPr>
        <w:t xml:space="preserve">εργαλείων </w:t>
      </w:r>
      <w:r w:rsidRPr="00E84F92">
        <w:rPr>
          <w:sz w:val="22"/>
          <w:szCs w:val="22"/>
        </w:rPr>
        <w:t>νομισματικ</w:t>
      </w:r>
      <w:r w:rsidRPr="00E84F92">
        <w:rPr>
          <w:sz w:val="22"/>
          <w:szCs w:val="22"/>
          <w:lang w:val="el-GR"/>
        </w:rPr>
        <w:t xml:space="preserve">ής πολιτικής </w:t>
      </w:r>
      <w:r w:rsidRPr="00E84F92">
        <w:rPr>
          <w:sz w:val="22"/>
          <w:szCs w:val="22"/>
        </w:rPr>
        <w:t>της ΕΚΤ που εφαρμόστηκ</w:t>
      </w:r>
      <w:r w:rsidRPr="00E84F92">
        <w:rPr>
          <w:sz w:val="22"/>
          <w:szCs w:val="22"/>
          <w:lang w:val="el-GR"/>
        </w:rPr>
        <w:t>ε</w:t>
      </w:r>
      <w:r w:rsidRPr="00E84F92">
        <w:rPr>
          <w:sz w:val="22"/>
          <w:szCs w:val="22"/>
        </w:rPr>
        <w:t xml:space="preserve"> στο περιβάλλον χαμηλού πληθωρισμού (</w:t>
      </w:r>
      <w:r w:rsidRPr="00E84F92">
        <w:rPr>
          <w:sz w:val="22"/>
          <w:szCs w:val="22"/>
          <w:lang w:val="el-GR"/>
        </w:rPr>
        <w:t xml:space="preserve">και </w:t>
      </w:r>
      <w:r w:rsidRPr="00E84F92">
        <w:rPr>
          <w:sz w:val="22"/>
          <w:szCs w:val="22"/>
        </w:rPr>
        <w:t>περιλ</w:t>
      </w:r>
      <w:r w:rsidRPr="00E84F92">
        <w:rPr>
          <w:sz w:val="22"/>
          <w:szCs w:val="22"/>
          <w:lang w:val="el-GR"/>
        </w:rPr>
        <w:t>άμβανε</w:t>
      </w:r>
      <w:r w:rsidRPr="00E84F92">
        <w:rPr>
          <w:sz w:val="22"/>
          <w:szCs w:val="22"/>
        </w:rPr>
        <w:t xml:space="preserve"> αρνητικ</w:t>
      </w:r>
      <w:r w:rsidRPr="00E84F92">
        <w:rPr>
          <w:sz w:val="22"/>
          <w:szCs w:val="22"/>
          <w:lang w:val="el-GR"/>
        </w:rPr>
        <w:t>ά</w:t>
      </w:r>
      <w:r w:rsidRPr="00E84F92">
        <w:rPr>
          <w:sz w:val="22"/>
          <w:szCs w:val="22"/>
        </w:rPr>
        <w:t xml:space="preserve"> επιτ</w:t>
      </w:r>
      <w:r w:rsidRPr="00E84F92">
        <w:rPr>
          <w:sz w:val="22"/>
          <w:szCs w:val="22"/>
          <w:lang w:val="el-GR"/>
        </w:rPr>
        <w:t xml:space="preserve">όκια, προγράμματα </w:t>
      </w:r>
      <w:r w:rsidRPr="00E84F92">
        <w:rPr>
          <w:sz w:val="22"/>
          <w:szCs w:val="22"/>
        </w:rPr>
        <w:t>αγορ</w:t>
      </w:r>
      <w:r w:rsidRPr="00E84F92">
        <w:rPr>
          <w:sz w:val="22"/>
          <w:szCs w:val="22"/>
          <w:lang w:val="el-GR"/>
        </w:rPr>
        <w:t xml:space="preserve">άς τίτλων και </w:t>
      </w:r>
      <w:r w:rsidRPr="00E84F92">
        <w:rPr>
          <w:sz w:val="22"/>
          <w:szCs w:val="22"/>
        </w:rPr>
        <w:t>πράξε</w:t>
      </w:r>
      <w:r w:rsidRPr="00E84F92">
        <w:rPr>
          <w:sz w:val="22"/>
          <w:szCs w:val="22"/>
          <w:lang w:val="el-GR"/>
        </w:rPr>
        <w:t>ις</w:t>
      </w:r>
      <w:r w:rsidRPr="00E84F92">
        <w:rPr>
          <w:sz w:val="22"/>
          <w:szCs w:val="22"/>
        </w:rPr>
        <w:t xml:space="preserve"> πιο μακροπρόθεσμης αναχρηματοδότησης) ήταν αποτελεσματικ</w:t>
      </w:r>
      <w:r w:rsidRPr="00E84F92">
        <w:rPr>
          <w:sz w:val="22"/>
          <w:szCs w:val="22"/>
          <w:lang w:val="el-GR"/>
        </w:rPr>
        <w:t>ή</w:t>
      </w:r>
      <w:r w:rsidRPr="00E84F92">
        <w:rPr>
          <w:sz w:val="22"/>
          <w:szCs w:val="22"/>
        </w:rPr>
        <w:t xml:space="preserve"> όσον αφορά τη </w:t>
      </w:r>
      <w:r w:rsidRPr="00E84F92">
        <w:rPr>
          <w:sz w:val="22"/>
          <w:szCs w:val="22"/>
          <w:lang w:val="el-GR"/>
        </w:rPr>
        <w:t xml:space="preserve">σύγκλιση του </w:t>
      </w:r>
      <w:r w:rsidRPr="00E84F92">
        <w:rPr>
          <w:sz w:val="22"/>
          <w:szCs w:val="22"/>
        </w:rPr>
        <w:t xml:space="preserve">πληθωρισμού </w:t>
      </w:r>
      <w:r w:rsidRPr="00E84F92">
        <w:rPr>
          <w:sz w:val="22"/>
          <w:szCs w:val="22"/>
          <w:lang w:val="el-GR"/>
        </w:rPr>
        <w:t>προς τον καθορισμένο</w:t>
      </w:r>
      <w:r w:rsidRPr="00E84F92">
        <w:rPr>
          <w:sz w:val="22"/>
          <w:szCs w:val="22"/>
        </w:rPr>
        <w:t xml:space="preserve"> στόχο, </w:t>
      </w:r>
      <w:r w:rsidRPr="00E84F92">
        <w:rPr>
          <w:sz w:val="22"/>
          <w:szCs w:val="22"/>
          <w:lang w:val="el-GR"/>
        </w:rPr>
        <w:t>ενώ παράλληλα στήριξε την άνοδο του προϊόντος και της απασχόλησης.</w:t>
      </w:r>
    </w:p>
    <w:p w14:paraId="75239F91"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Στο Διοικητικό Συμβούλιο, εφαρμό</w:t>
      </w:r>
      <w:r w:rsidRPr="00E84F92">
        <w:rPr>
          <w:rFonts w:ascii="Arial" w:hAnsi="Arial" w:cs="Arial"/>
          <w:szCs w:val="22"/>
          <w:lang w:val="el-GR"/>
        </w:rPr>
        <w:t xml:space="preserve">ζουμε </w:t>
      </w:r>
      <w:r w:rsidRPr="00E84F92">
        <w:rPr>
          <w:rFonts w:ascii="Arial" w:hAnsi="Arial" w:cs="Arial"/>
          <w:szCs w:val="22"/>
        </w:rPr>
        <w:t xml:space="preserve">την κατάλληλη κατεύθυνση της νομισματικής πολιτικής μετά από προσεκτική επιλογή, σχεδιασμό και βαθμονόμηση των </w:t>
      </w:r>
      <w:r w:rsidRPr="00E84F92">
        <w:rPr>
          <w:rFonts w:ascii="Arial" w:hAnsi="Arial" w:cs="Arial"/>
          <w:szCs w:val="22"/>
          <w:lang w:val="el-GR"/>
        </w:rPr>
        <w:t>εργαλείων μας</w:t>
      </w:r>
      <w:r w:rsidRPr="00E84F92">
        <w:rPr>
          <w:rFonts w:ascii="Arial" w:hAnsi="Arial" w:cs="Arial"/>
          <w:szCs w:val="22"/>
        </w:rPr>
        <w:t xml:space="preserve">, τόσο μεμονωμένα όσο και συνδυαστικά. </w:t>
      </w:r>
      <w:r w:rsidRPr="00E84F92">
        <w:rPr>
          <w:rFonts w:ascii="Arial" w:hAnsi="Arial" w:cs="Arial"/>
          <w:szCs w:val="22"/>
          <w:lang w:val="el-GR"/>
        </w:rPr>
        <w:t>Παραμένουμε σε επαγρύπνηση ώστε να διαχειριστούμε πιθανούς κινδύνους για τ</w:t>
      </w:r>
      <w:r w:rsidRPr="00E84F92">
        <w:rPr>
          <w:rFonts w:ascii="Arial" w:hAnsi="Arial" w:cs="Arial"/>
          <w:szCs w:val="22"/>
        </w:rPr>
        <w:t xml:space="preserve">η χρηματοπιστωτική σταθερότητα που ενδέχεται να συνοδεύουν τα μέτρα μας. </w:t>
      </w:r>
    </w:p>
    <w:p w14:paraId="72AD7DF3"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Αξίζει να σημειωθεί ότι </w:t>
      </w:r>
      <w:r w:rsidRPr="00E84F92">
        <w:rPr>
          <w:rFonts w:ascii="Arial" w:hAnsi="Arial" w:cs="Arial"/>
          <w:szCs w:val="22"/>
        </w:rPr>
        <w:t xml:space="preserve">δεν </w:t>
      </w:r>
      <w:r w:rsidRPr="00E84F92">
        <w:rPr>
          <w:rFonts w:ascii="Arial" w:hAnsi="Arial" w:cs="Arial"/>
          <w:szCs w:val="22"/>
          <w:lang w:val="el-GR"/>
        </w:rPr>
        <w:t xml:space="preserve">παρατηρήθηκε </w:t>
      </w:r>
      <w:r w:rsidRPr="00E84F92">
        <w:rPr>
          <w:rFonts w:ascii="Arial" w:hAnsi="Arial" w:cs="Arial"/>
          <w:szCs w:val="22"/>
        </w:rPr>
        <w:t xml:space="preserve">σημαντική απότομη ανατιμολόγηση στις χρηματοπιστωτικές αγορές κατά την </w:t>
      </w:r>
      <w:r w:rsidRPr="00E84F92">
        <w:rPr>
          <w:rFonts w:ascii="Arial" w:hAnsi="Arial" w:cs="Arial"/>
          <w:szCs w:val="22"/>
          <w:lang w:val="el-GR"/>
        </w:rPr>
        <w:t xml:space="preserve">περίοδο </w:t>
      </w:r>
      <w:r w:rsidRPr="00E84F92">
        <w:rPr>
          <w:rFonts w:ascii="Arial" w:hAnsi="Arial" w:cs="Arial"/>
          <w:szCs w:val="22"/>
        </w:rPr>
        <w:t xml:space="preserve">των χαμηλών επιτοκίων. Τα δύο τελευταία </w:t>
      </w:r>
      <w:r w:rsidRPr="00E84F92">
        <w:rPr>
          <w:rFonts w:ascii="Arial" w:hAnsi="Arial" w:cs="Arial"/>
          <w:szCs w:val="22"/>
        </w:rPr>
        <w:lastRenderedPageBreak/>
        <w:t xml:space="preserve">χρόνια, κατά τα οποία προχωρήσαμε σε σταδιακή και </w:t>
      </w:r>
      <w:r w:rsidRPr="00E84F92">
        <w:rPr>
          <w:rFonts w:ascii="Arial" w:hAnsi="Arial" w:cs="Arial"/>
          <w:szCs w:val="22"/>
          <w:lang w:val="el-GR"/>
        </w:rPr>
        <w:t>προσεκτική</w:t>
      </w:r>
      <w:r w:rsidRPr="00E84F92">
        <w:rPr>
          <w:rFonts w:ascii="Arial" w:hAnsi="Arial" w:cs="Arial"/>
          <w:szCs w:val="22"/>
        </w:rPr>
        <w:t xml:space="preserve"> απόσυρση των μέτρων </w:t>
      </w:r>
      <w:r w:rsidRPr="00E84F92">
        <w:rPr>
          <w:rFonts w:ascii="Arial" w:hAnsi="Arial" w:cs="Arial"/>
          <w:szCs w:val="22"/>
          <w:lang w:val="el-GR"/>
        </w:rPr>
        <w:t xml:space="preserve">νομισματικής </w:t>
      </w:r>
      <w:r w:rsidRPr="00E84F92">
        <w:rPr>
          <w:rFonts w:ascii="Arial" w:hAnsi="Arial" w:cs="Arial"/>
          <w:szCs w:val="22"/>
        </w:rPr>
        <w:t xml:space="preserve">χαλάρωσης και </w:t>
      </w:r>
      <w:r w:rsidRPr="00E84F92">
        <w:rPr>
          <w:rFonts w:ascii="Arial" w:hAnsi="Arial" w:cs="Arial"/>
          <w:szCs w:val="22"/>
          <w:lang w:val="el-GR"/>
        </w:rPr>
        <w:t>σε</w:t>
      </w:r>
      <w:r w:rsidRPr="00E84F92">
        <w:rPr>
          <w:rFonts w:ascii="Arial" w:hAnsi="Arial" w:cs="Arial"/>
          <w:szCs w:val="22"/>
        </w:rPr>
        <w:t xml:space="preserve"> </w:t>
      </w:r>
      <w:r w:rsidRPr="00E84F92">
        <w:rPr>
          <w:rFonts w:ascii="Arial" w:hAnsi="Arial" w:cs="Arial"/>
          <w:szCs w:val="22"/>
          <w:lang w:val="el-GR"/>
        </w:rPr>
        <w:t>δραστική</w:t>
      </w:r>
      <w:r w:rsidRPr="00E84F92">
        <w:rPr>
          <w:rFonts w:ascii="Arial" w:hAnsi="Arial" w:cs="Arial"/>
          <w:szCs w:val="22"/>
        </w:rPr>
        <w:t xml:space="preserve"> αύξηση των επιτοκίων πολιτικής μας, ο κίνδυνος </w:t>
      </w:r>
      <w:r w:rsidRPr="00E84F92">
        <w:rPr>
          <w:rFonts w:ascii="Arial" w:hAnsi="Arial" w:cs="Arial"/>
          <w:szCs w:val="22"/>
          <w:lang w:val="el-GR"/>
        </w:rPr>
        <w:t>έντονων</w:t>
      </w:r>
      <w:r w:rsidRPr="00E84F92">
        <w:rPr>
          <w:rFonts w:ascii="Arial" w:hAnsi="Arial" w:cs="Arial"/>
          <w:szCs w:val="22"/>
        </w:rPr>
        <w:t xml:space="preserve"> διορθώσεων στις τιμές των περιουσιακών στοιχείων δεν έχει υλοποιηθεί. </w:t>
      </w:r>
    </w:p>
    <w:p w14:paraId="04C5D249"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Παράλληλα</w:t>
      </w:r>
      <w:r w:rsidRPr="00E84F92">
        <w:rPr>
          <w:rFonts w:ascii="Arial" w:hAnsi="Arial" w:cs="Arial"/>
          <w:szCs w:val="22"/>
        </w:rPr>
        <w:t xml:space="preserve">, </w:t>
      </w:r>
      <w:r w:rsidRPr="00E84F92">
        <w:rPr>
          <w:rFonts w:ascii="Arial" w:hAnsi="Arial" w:cs="Arial"/>
          <w:szCs w:val="22"/>
          <w:lang w:val="el-GR"/>
        </w:rPr>
        <w:t>η</w:t>
      </w:r>
      <w:r w:rsidRPr="00E84F92">
        <w:rPr>
          <w:rFonts w:ascii="Arial" w:hAnsi="Arial" w:cs="Arial"/>
          <w:szCs w:val="22"/>
        </w:rPr>
        <w:t xml:space="preserve"> μακροπροληπτικ</w:t>
      </w:r>
      <w:r w:rsidRPr="00E84F92">
        <w:rPr>
          <w:rFonts w:ascii="Arial" w:hAnsi="Arial" w:cs="Arial"/>
          <w:szCs w:val="22"/>
          <w:lang w:val="el-GR"/>
        </w:rPr>
        <w:t xml:space="preserve">ή και η </w:t>
      </w:r>
      <w:r w:rsidRPr="00E84F92">
        <w:rPr>
          <w:rFonts w:ascii="Arial" w:hAnsi="Arial" w:cs="Arial"/>
          <w:szCs w:val="22"/>
        </w:rPr>
        <w:t>εποπτικ</w:t>
      </w:r>
      <w:r w:rsidRPr="00E84F92">
        <w:rPr>
          <w:rFonts w:ascii="Arial" w:hAnsi="Arial" w:cs="Arial"/>
          <w:szCs w:val="22"/>
          <w:lang w:val="el-GR"/>
        </w:rPr>
        <w:t xml:space="preserve">ή </w:t>
      </w:r>
      <w:r w:rsidRPr="00E84F92">
        <w:rPr>
          <w:rFonts w:ascii="Arial" w:hAnsi="Arial" w:cs="Arial"/>
          <w:szCs w:val="22"/>
        </w:rPr>
        <w:t>πολιτικ</w:t>
      </w:r>
      <w:r w:rsidRPr="00E84F92">
        <w:rPr>
          <w:rFonts w:ascii="Arial" w:hAnsi="Arial" w:cs="Arial"/>
          <w:szCs w:val="22"/>
          <w:lang w:val="el-GR"/>
        </w:rPr>
        <w:t>ή</w:t>
      </w:r>
      <w:r w:rsidRPr="00E84F92">
        <w:rPr>
          <w:rFonts w:ascii="Arial" w:hAnsi="Arial" w:cs="Arial"/>
          <w:szCs w:val="22"/>
        </w:rPr>
        <w:t xml:space="preserve"> </w:t>
      </w:r>
      <w:r w:rsidRPr="00E84F92">
        <w:rPr>
          <w:rFonts w:ascii="Arial" w:hAnsi="Arial" w:cs="Arial"/>
          <w:szCs w:val="22"/>
          <w:lang w:val="el-GR"/>
        </w:rPr>
        <w:t xml:space="preserve">άμβλυναν τους </w:t>
      </w:r>
      <w:r w:rsidRPr="00E84F92">
        <w:rPr>
          <w:rFonts w:ascii="Arial" w:hAnsi="Arial" w:cs="Arial"/>
          <w:szCs w:val="22"/>
        </w:rPr>
        <w:t xml:space="preserve">κινδύνους για τη χρηματοπιστωτική σταθερότητα και </w:t>
      </w:r>
      <w:r w:rsidRPr="00E84F92">
        <w:rPr>
          <w:rFonts w:ascii="Arial" w:hAnsi="Arial" w:cs="Arial"/>
          <w:szCs w:val="22"/>
          <w:lang w:val="el-GR"/>
        </w:rPr>
        <w:t xml:space="preserve">έτσι </w:t>
      </w:r>
      <w:r w:rsidRPr="00E84F92">
        <w:rPr>
          <w:rFonts w:ascii="Arial" w:hAnsi="Arial" w:cs="Arial"/>
          <w:szCs w:val="22"/>
        </w:rPr>
        <w:t>εν</w:t>
      </w:r>
      <w:r w:rsidRPr="00E84F92">
        <w:rPr>
          <w:rFonts w:ascii="Arial" w:hAnsi="Arial" w:cs="Arial"/>
          <w:szCs w:val="22"/>
          <w:lang w:val="el-GR"/>
        </w:rPr>
        <w:t xml:space="preserve">ίσχυσαν </w:t>
      </w:r>
      <w:r w:rsidRPr="00E84F92">
        <w:rPr>
          <w:rFonts w:ascii="Arial" w:hAnsi="Arial" w:cs="Arial"/>
          <w:szCs w:val="22"/>
        </w:rPr>
        <w:t>την ανθεκτικότητα του χρηματοπιστωτικού τομέα</w:t>
      </w:r>
      <w:r w:rsidRPr="00E84F92">
        <w:rPr>
          <w:rFonts w:ascii="Arial" w:hAnsi="Arial" w:cs="Arial"/>
          <w:szCs w:val="22"/>
          <w:lang w:val="el-GR"/>
        </w:rPr>
        <w:t>. Με αυτό τον τρόπο</w:t>
      </w:r>
      <w:r w:rsidRPr="00E84F92">
        <w:rPr>
          <w:rFonts w:ascii="Arial" w:hAnsi="Arial" w:cs="Arial"/>
          <w:szCs w:val="22"/>
        </w:rPr>
        <w:t xml:space="preserve"> υποβ</w:t>
      </w:r>
      <w:r w:rsidRPr="00E84F92">
        <w:rPr>
          <w:rFonts w:ascii="Arial" w:hAnsi="Arial" w:cs="Arial"/>
          <w:szCs w:val="22"/>
          <w:lang w:val="el-GR"/>
        </w:rPr>
        <w:t xml:space="preserve">οήθησαν την </w:t>
      </w:r>
      <w:r w:rsidRPr="00E84F92">
        <w:rPr>
          <w:rFonts w:ascii="Arial" w:hAnsi="Arial" w:cs="Arial"/>
          <w:szCs w:val="22"/>
        </w:rPr>
        <w:t>ομαλή μετάδοση της νομισματικής πολιτικής και συνέβαλαν στη σταθερότητα των τιμών μεσοπρόθεσμα.</w:t>
      </w:r>
    </w:p>
    <w:p w14:paraId="3420E980"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rPr>
        <w:t>Ας περ</w:t>
      </w:r>
      <w:r w:rsidRPr="00E84F92">
        <w:rPr>
          <w:rFonts w:ascii="Arial" w:hAnsi="Arial" w:cs="Arial"/>
          <w:szCs w:val="22"/>
          <w:lang w:val="el-GR"/>
        </w:rPr>
        <w:t xml:space="preserve">άσουμε </w:t>
      </w:r>
      <w:r w:rsidRPr="00E84F92">
        <w:rPr>
          <w:rFonts w:ascii="Arial" w:hAnsi="Arial" w:cs="Arial"/>
          <w:szCs w:val="22"/>
        </w:rPr>
        <w:t>τώρα στα διδάγματα που αντλήθηκαν για τις τράπεζες:</w:t>
      </w:r>
    </w:p>
    <w:p w14:paraId="6DAAA911" w14:textId="77777777" w:rsidR="00E84F92" w:rsidRPr="00E84F92" w:rsidRDefault="00E84F92" w:rsidP="00E84F92">
      <w:pPr>
        <w:pStyle w:val="P68B1DB1-BodyTextIndent33"/>
        <w:numPr>
          <w:ilvl w:val="1"/>
          <w:numId w:val="12"/>
        </w:numPr>
        <w:spacing w:before="120" w:line="360" w:lineRule="auto"/>
        <w:ind w:left="567" w:hanging="567"/>
        <w:jc w:val="both"/>
        <w:rPr>
          <w:rFonts w:ascii="Arial" w:hAnsi="Arial" w:cs="Arial"/>
          <w:szCs w:val="22"/>
        </w:rPr>
      </w:pPr>
      <w:r w:rsidRPr="00E84F92">
        <w:rPr>
          <w:rFonts w:ascii="Arial" w:hAnsi="Arial" w:cs="Arial"/>
          <w:szCs w:val="22"/>
        </w:rPr>
        <w:t>Η συνετή διαχείριση κινδύνων είναι υψίστης σημασίας ως πρώτ</w:t>
      </w:r>
      <w:r w:rsidRPr="00E84F92">
        <w:rPr>
          <w:rFonts w:ascii="Arial" w:hAnsi="Arial" w:cs="Arial"/>
          <w:szCs w:val="22"/>
          <w:lang w:val="el-GR"/>
        </w:rPr>
        <w:t xml:space="preserve">η γραμμή </w:t>
      </w:r>
      <w:r w:rsidRPr="00E84F92">
        <w:rPr>
          <w:rFonts w:ascii="Arial" w:hAnsi="Arial" w:cs="Arial"/>
          <w:szCs w:val="22"/>
        </w:rPr>
        <w:t xml:space="preserve">άμυνας. </w:t>
      </w:r>
      <w:r w:rsidRPr="00E84F92">
        <w:rPr>
          <w:rFonts w:ascii="Arial" w:hAnsi="Arial" w:cs="Arial"/>
          <w:szCs w:val="22"/>
          <w:lang w:val="el-GR"/>
        </w:rPr>
        <w:t xml:space="preserve">Τα γενεσιουργά αίτια των πιο πρόσφατων επεισοδίων τραπεζικών κρίσεων </w:t>
      </w:r>
      <w:r w:rsidRPr="00E84F92">
        <w:rPr>
          <w:rFonts w:ascii="Arial" w:hAnsi="Arial" w:cs="Arial"/>
          <w:szCs w:val="22"/>
        </w:rPr>
        <w:t>(π.χ. Silic</w:t>
      </w:r>
      <w:r w:rsidRPr="00E84F92">
        <w:rPr>
          <w:rFonts w:ascii="Arial" w:hAnsi="Arial" w:cs="Arial"/>
          <w:szCs w:val="22"/>
          <w:lang w:val="en-US"/>
        </w:rPr>
        <w:t>on</w:t>
      </w:r>
      <w:r w:rsidRPr="00E84F92">
        <w:rPr>
          <w:rFonts w:ascii="Arial" w:hAnsi="Arial" w:cs="Arial"/>
          <w:szCs w:val="22"/>
          <w:lang w:val="el-GR"/>
        </w:rPr>
        <w:t xml:space="preserve"> </w:t>
      </w:r>
      <w:r w:rsidRPr="00E84F92">
        <w:rPr>
          <w:rFonts w:ascii="Arial" w:hAnsi="Arial" w:cs="Arial"/>
          <w:szCs w:val="22"/>
        </w:rPr>
        <w:t>Valley Bank, First Republic Bank, Credit S</w:t>
      </w:r>
      <w:r w:rsidRPr="00E84F92">
        <w:rPr>
          <w:rFonts w:ascii="Arial" w:hAnsi="Arial" w:cs="Arial"/>
          <w:szCs w:val="22"/>
          <w:lang w:val="en-US"/>
        </w:rPr>
        <w:t>u</w:t>
      </w:r>
      <w:r w:rsidRPr="00E84F92">
        <w:rPr>
          <w:rFonts w:ascii="Arial" w:hAnsi="Arial" w:cs="Arial"/>
          <w:szCs w:val="22"/>
        </w:rPr>
        <w:t xml:space="preserve">isse) </w:t>
      </w:r>
      <w:r w:rsidRPr="00E84F92">
        <w:rPr>
          <w:rFonts w:ascii="Arial" w:hAnsi="Arial" w:cs="Arial"/>
          <w:szCs w:val="22"/>
          <w:lang w:val="el-GR"/>
        </w:rPr>
        <w:t>εντοπίζονται σε ανεπάρκειες στη δ</w:t>
      </w:r>
      <w:r w:rsidRPr="00E84F92">
        <w:rPr>
          <w:rFonts w:ascii="Arial" w:hAnsi="Arial" w:cs="Arial"/>
          <w:szCs w:val="22"/>
        </w:rPr>
        <w:t>ιαχείριση κινδύν</w:t>
      </w:r>
      <w:r w:rsidRPr="00E84F92">
        <w:rPr>
          <w:rFonts w:ascii="Arial" w:hAnsi="Arial" w:cs="Arial"/>
          <w:szCs w:val="22"/>
          <w:lang w:val="el-GR"/>
        </w:rPr>
        <w:t>ων</w:t>
      </w:r>
      <w:r w:rsidRPr="00E84F92">
        <w:rPr>
          <w:rFonts w:ascii="Arial" w:hAnsi="Arial" w:cs="Arial"/>
          <w:szCs w:val="22"/>
        </w:rPr>
        <w:t>, όσον αφορά το μίγμα προϊόντων, τον κίνδυνο συγκέντρωσης, την αναζήτηση απ</w:t>
      </w:r>
      <w:r w:rsidRPr="00E84F92">
        <w:rPr>
          <w:rFonts w:ascii="Arial" w:hAnsi="Arial" w:cs="Arial"/>
          <w:szCs w:val="22"/>
          <w:lang w:val="el-GR"/>
        </w:rPr>
        <w:t>οδόσεων</w:t>
      </w:r>
      <w:r w:rsidRPr="00E84F92">
        <w:rPr>
          <w:rFonts w:ascii="Arial" w:hAnsi="Arial" w:cs="Arial"/>
          <w:szCs w:val="22"/>
        </w:rPr>
        <w:t xml:space="preserve">, τις </w:t>
      </w:r>
      <w:r w:rsidRPr="00E84F92">
        <w:rPr>
          <w:rFonts w:ascii="Arial" w:hAnsi="Arial" w:cs="Arial"/>
          <w:szCs w:val="22"/>
          <w:lang w:val="el-GR"/>
        </w:rPr>
        <w:t>ασυμφωνίες</w:t>
      </w:r>
      <w:r w:rsidRPr="00E84F92">
        <w:rPr>
          <w:rFonts w:ascii="Arial" w:hAnsi="Arial" w:cs="Arial"/>
          <w:szCs w:val="22"/>
        </w:rPr>
        <w:t xml:space="preserve"> ληκτότητας </w:t>
      </w:r>
      <w:r w:rsidRPr="00E84F92">
        <w:rPr>
          <w:rFonts w:ascii="Arial" w:hAnsi="Arial" w:cs="Arial"/>
          <w:szCs w:val="22"/>
          <w:lang w:val="el-GR"/>
        </w:rPr>
        <w:t xml:space="preserve">απαιτήσεων-υποχρεώσεων </w:t>
      </w:r>
      <w:r w:rsidRPr="00E84F92">
        <w:rPr>
          <w:rFonts w:ascii="Arial" w:hAnsi="Arial" w:cs="Arial"/>
          <w:szCs w:val="22"/>
        </w:rPr>
        <w:t xml:space="preserve">κ.λπ. </w:t>
      </w:r>
    </w:p>
    <w:p w14:paraId="4724DBA6" w14:textId="77777777" w:rsidR="00E84F92" w:rsidRPr="00E84F92" w:rsidRDefault="00E84F92" w:rsidP="00E84F92">
      <w:pPr>
        <w:pStyle w:val="P68B1DB1-BodyTextIndent33"/>
        <w:numPr>
          <w:ilvl w:val="1"/>
          <w:numId w:val="12"/>
        </w:numPr>
        <w:spacing w:before="120" w:line="360" w:lineRule="auto"/>
        <w:ind w:left="567" w:hanging="567"/>
        <w:jc w:val="both"/>
        <w:rPr>
          <w:rFonts w:ascii="Arial" w:hAnsi="Arial" w:cs="Arial"/>
          <w:szCs w:val="22"/>
        </w:rPr>
      </w:pPr>
      <w:r w:rsidRPr="00E84F92">
        <w:rPr>
          <w:rFonts w:ascii="Arial" w:hAnsi="Arial" w:cs="Arial"/>
          <w:szCs w:val="22"/>
          <w:lang w:val="el-GR"/>
        </w:rPr>
        <w:t>Παράλληλα</w:t>
      </w:r>
      <w:r w:rsidRPr="00E84F92">
        <w:rPr>
          <w:rFonts w:ascii="Arial" w:hAnsi="Arial" w:cs="Arial"/>
          <w:szCs w:val="22"/>
        </w:rPr>
        <w:t xml:space="preserve">, </w:t>
      </w:r>
      <w:r w:rsidRPr="00E84F92">
        <w:rPr>
          <w:rFonts w:ascii="Arial" w:hAnsi="Arial" w:cs="Arial"/>
          <w:szCs w:val="22"/>
          <w:lang w:val="el-GR"/>
        </w:rPr>
        <w:t xml:space="preserve">θα πρέπει </w:t>
      </w:r>
      <w:r w:rsidRPr="00E84F92">
        <w:rPr>
          <w:rFonts w:ascii="Arial" w:hAnsi="Arial" w:cs="Arial"/>
          <w:szCs w:val="22"/>
        </w:rPr>
        <w:t xml:space="preserve">να επισημανθεί ότι τα </w:t>
      </w:r>
      <w:r w:rsidRPr="00E84F92">
        <w:rPr>
          <w:rFonts w:ascii="Arial" w:hAnsi="Arial" w:cs="Arial"/>
          <w:szCs w:val="22"/>
          <w:lang w:val="el-GR"/>
        </w:rPr>
        <w:t xml:space="preserve">πιο </w:t>
      </w:r>
      <w:r w:rsidRPr="00E84F92">
        <w:rPr>
          <w:rFonts w:ascii="Arial" w:hAnsi="Arial" w:cs="Arial"/>
          <w:szCs w:val="22"/>
        </w:rPr>
        <w:t xml:space="preserve">πρόσφατα επεισόδια </w:t>
      </w:r>
      <w:r w:rsidRPr="00E84F92">
        <w:rPr>
          <w:rFonts w:ascii="Arial" w:hAnsi="Arial" w:cs="Arial"/>
          <w:szCs w:val="22"/>
          <w:lang w:val="el-GR"/>
        </w:rPr>
        <w:t xml:space="preserve">πτωχεύσεων </w:t>
      </w:r>
      <w:r w:rsidRPr="00E84F92">
        <w:rPr>
          <w:rFonts w:ascii="Arial" w:hAnsi="Arial" w:cs="Arial"/>
          <w:szCs w:val="22"/>
        </w:rPr>
        <w:t>μεμονωμένων τραπεζών στις Η</w:t>
      </w:r>
      <w:r w:rsidRPr="00E84F92">
        <w:rPr>
          <w:rFonts w:ascii="Arial" w:hAnsi="Arial" w:cs="Arial"/>
          <w:szCs w:val="22"/>
          <w:lang w:val="el-GR"/>
        </w:rPr>
        <w:t>ΠΑ</w:t>
      </w:r>
      <w:r w:rsidRPr="00E84F92">
        <w:rPr>
          <w:rFonts w:ascii="Arial" w:hAnsi="Arial" w:cs="Arial"/>
          <w:szCs w:val="22"/>
        </w:rPr>
        <w:t xml:space="preserve"> και στην Ελβετία δεν </w:t>
      </w:r>
      <w:r w:rsidRPr="00E84F92">
        <w:rPr>
          <w:rFonts w:ascii="Arial" w:hAnsi="Arial" w:cs="Arial"/>
          <w:szCs w:val="22"/>
          <w:lang w:val="el-GR"/>
        </w:rPr>
        <w:t xml:space="preserve">εξελίχθηκαν </w:t>
      </w:r>
      <w:r w:rsidRPr="00E84F92">
        <w:rPr>
          <w:rFonts w:ascii="Arial" w:hAnsi="Arial" w:cs="Arial"/>
          <w:szCs w:val="22"/>
        </w:rPr>
        <w:t>σε συστημικές κρίσεις</w:t>
      </w:r>
      <w:r w:rsidRPr="00E84F92">
        <w:rPr>
          <w:rFonts w:ascii="Arial" w:hAnsi="Arial" w:cs="Arial"/>
          <w:szCs w:val="22"/>
          <w:lang w:val="el-GR"/>
        </w:rPr>
        <w:t xml:space="preserve">, και αυτό χάρη στην ύπαρξη </w:t>
      </w:r>
      <w:r w:rsidRPr="00E84F92">
        <w:rPr>
          <w:rFonts w:ascii="Arial" w:hAnsi="Arial" w:cs="Arial"/>
          <w:szCs w:val="22"/>
        </w:rPr>
        <w:t>ολοκληρωμέν</w:t>
      </w:r>
      <w:r w:rsidRPr="00E84F92">
        <w:rPr>
          <w:rFonts w:ascii="Arial" w:hAnsi="Arial" w:cs="Arial"/>
          <w:szCs w:val="22"/>
          <w:lang w:val="el-GR"/>
        </w:rPr>
        <w:t>ης</w:t>
      </w:r>
      <w:r w:rsidRPr="00E84F92">
        <w:rPr>
          <w:rFonts w:ascii="Arial" w:hAnsi="Arial" w:cs="Arial"/>
          <w:szCs w:val="22"/>
        </w:rPr>
        <w:t xml:space="preserve"> τραπεζικ</w:t>
      </w:r>
      <w:r w:rsidRPr="00E84F92">
        <w:rPr>
          <w:rFonts w:ascii="Arial" w:hAnsi="Arial" w:cs="Arial"/>
          <w:szCs w:val="22"/>
          <w:lang w:val="el-GR"/>
        </w:rPr>
        <w:t>ής</w:t>
      </w:r>
      <w:r w:rsidRPr="00E84F92">
        <w:rPr>
          <w:rFonts w:ascii="Arial" w:hAnsi="Arial" w:cs="Arial"/>
          <w:szCs w:val="22"/>
        </w:rPr>
        <w:t xml:space="preserve"> </w:t>
      </w:r>
      <w:r w:rsidRPr="00E84F92">
        <w:rPr>
          <w:rFonts w:ascii="Arial" w:hAnsi="Arial" w:cs="Arial"/>
          <w:szCs w:val="22"/>
          <w:lang w:val="el-GR"/>
        </w:rPr>
        <w:t>ένωσης σε καθεμία από αυτές τις χώρες</w:t>
      </w:r>
      <w:r w:rsidRPr="00E84F92">
        <w:rPr>
          <w:rFonts w:ascii="Arial" w:hAnsi="Arial" w:cs="Arial"/>
          <w:szCs w:val="22"/>
        </w:rPr>
        <w:t xml:space="preserve">. Στην περίπτωση των δύο </w:t>
      </w:r>
      <w:r w:rsidRPr="00E84F92">
        <w:rPr>
          <w:rFonts w:ascii="Arial" w:hAnsi="Arial" w:cs="Arial"/>
          <w:szCs w:val="22"/>
          <w:lang w:val="el-GR"/>
        </w:rPr>
        <w:t xml:space="preserve">αμερικανικών </w:t>
      </w:r>
      <w:r w:rsidRPr="00E84F92">
        <w:rPr>
          <w:rFonts w:ascii="Arial" w:hAnsi="Arial" w:cs="Arial"/>
          <w:szCs w:val="22"/>
        </w:rPr>
        <w:t>τραπεζών</w:t>
      </w:r>
      <w:r w:rsidRPr="00E84F92">
        <w:rPr>
          <w:rFonts w:ascii="Arial" w:hAnsi="Arial" w:cs="Arial"/>
          <w:szCs w:val="22"/>
          <w:lang w:val="el-GR"/>
        </w:rPr>
        <w:t>,</w:t>
      </w:r>
      <w:r w:rsidRPr="00E84F92">
        <w:rPr>
          <w:rFonts w:ascii="Arial" w:hAnsi="Arial" w:cs="Arial"/>
          <w:szCs w:val="22"/>
        </w:rPr>
        <w:t xml:space="preserve"> </w:t>
      </w:r>
      <w:r w:rsidRPr="00E84F92">
        <w:rPr>
          <w:rFonts w:ascii="Arial" w:hAnsi="Arial" w:cs="Arial"/>
          <w:szCs w:val="22"/>
          <w:lang w:val="el-GR"/>
        </w:rPr>
        <w:t xml:space="preserve">οι δηλώσεις αξιωματούχων του υπουργείου οικονομικών των </w:t>
      </w:r>
      <w:r w:rsidRPr="00E84F92">
        <w:rPr>
          <w:rFonts w:ascii="Arial" w:hAnsi="Arial" w:cs="Arial"/>
          <w:szCs w:val="22"/>
        </w:rPr>
        <w:t xml:space="preserve">ΗΠΑ ότι όλες οι καταθέσεις </w:t>
      </w:r>
      <w:r w:rsidRPr="00E84F92">
        <w:rPr>
          <w:rFonts w:ascii="Arial" w:hAnsi="Arial" w:cs="Arial"/>
          <w:szCs w:val="22"/>
          <w:lang w:val="el-GR"/>
        </w:rPr>
        <w:t>των εν λόγω τραπεζών θα αποζημιωθούν στο ακέραιο συνέβαλαν αποφασιστικά στον τερματισμό της κρίσης</w:t>
      </w:r>
      <w:r w:rsidRPr="00E84F92">
        <w:rPr>
          <w:rFonts w:ascii="Arial" w:hAnsi="Arial" w:cs="Arial"/>
          <w:szCs w:val="22"/>
        </w:rPr>
        <w:t xml:space="preserve">. </w:t>
      </w:r>
    </w:p>
    <w:p w14:paraId="6C0B4D7D" w14:textId="77777777" w:rsidR="00E84F92" w:rsidRPr="00E84F92" w:rsidRDefault="00E84F92" w:rsidP="00E84F92">
      <w:pPr>
        <w:pStyle w:val="P68B1DB1-BodyTextIndent33"/>
        <w:numPr>
          <w:ilvl w:val="1"/>
          <w:numId w:val="12"/>
        </w:numPr>
        <w:spacing w:before="120" w:line="360" w:lineRule="auto"/>
        <w:ind w:left="567" w:hanging="567"/>
        <w:jc w:val="both"/>
        <w:rPr>
          <w:rFonts w:ascii="Arial" w:hAnsi="Arial" w:cs="Arial"/>
          <w:szCs w:val="22"/>
        </w:rPr>
      </w:pPr>
      <w:r w:rsidRPr="00E84F92">
        <w:rPr>
          <w:rFonts w:ascii="Arial" w:hAnsi="Arial" w:cs="Arial"/>
          <w:szCs w:val="22"/>
        </w:rPr>
        <w:t xml:space="preserve">Βραχυπρόθεσμη προσέγγιση </w:t>
      </w:r>
      <w:r w:rsidRPr="00E84F92">
        <w:rPr>
          <w:rFonts w:ascii="Arial" w:hAnsi="Arial" w:cs="Arial"/>
          <w:szCs w:val="22"/>
          <w:lang w:val="el-GR"/>
        </w:rPr>
        <w:t xml:space="preserve">σε αντιδιαστολή με τη </w:t>
      </w:r>
      <w:r w:rsidRPr="00E84F92">
        <w:rPr>
          <w:rFonts w:ascii="Arial" w:hAnsi="Arial" w:cs="Arial"/>
          <w:szCs w:val="22"/>
        </w:rPr>
        <w:t xml:space="preserve">βιωσιμότητα των επιχειρηματικών μοντέλων των τραπεζών. Οι μυωπικές στρατηγικές επιδεινώνουν </w:t>
      </w:r>
      <w:r w:rsidRPr="00E84F92">
        <w:rPr>
          <w:rFonts w:ascii="Arial" w:hAnsi="Arial" w:cs="Arial"/>
          <w:szCs w:val="22"/>
          <w:lang w:val="el-GR"/>
        </w:rPr>
        <w:t xml:space="preserve">τις επιπτώσεις των ανεπαρκειών </w:t>
      </w:r>
      <w:r w:rsidRPr="00E84F92">
        <w:rPr>
          <w:rFonts w:ascii="Arial" w:hAnsi="Arial" w:cs="Arial"/>
          <w:szCs w:val="22"/>
        </w:rPr>
        <w:t>στη διαχείριση κινδύνων</w:t>
      </w:r>
      <w:r w:rsidRPr="00E84F92">
        <w:rPr>
          <w:rFonts w:ascii="Arial" w:hAnsi="Arial" w:cs="Arial"/>
          <w:szCs w:val="22"/>
          <w:lang w:val="el-GR"/>
        </w:rPr>
        <w:t>,</w:t>
      </w:r>
      <w:r w:rsidRPr="00E84F92">
        <w:rPr>
          <w:rFonts w:ascii="Arial" w:hAnsi="Arial" w:cs="Arial"/>
          <w:szCs w:val="22"/>
        </w:rPr>
        <w:t xml:space="preserve"> με καταστροφικές </w:t>
      </w:r>
      <w:r w:rsidRPr="00E84F92">
        <w:rPr>
          <w:rFonts w:ascii="Arial" w:hAnsi="Arial" w:cs="Arial"/>
          <w:szCs w:val="22"/>
          <w:lang w:val="el-GR"/>
        </w:rPr>
        <w:t>συνέπειες</w:t>
      </w:r>
      <w:r w:rsidRPr="00E84F92">
        <w:rPr>
          <w:rFonts w:ascii="Arial" w:hAnsi="Arial" w:cs="Arial"/>
          <w:szCs w:val="22"/>
        </w:rPr>
        <w:t>. Η αξιολόγηση τ</w:t>
      </w:r>
      <w:r w:rsidRPr="00E84F92">
        <w:rPr>
          <w:rFonts w:ascii="Arial" w:hAnsi="Arial" w:cs="Arial"/>
          <w:szCs w:val="22"/>
          <w:lang w:val="el-GR"/>
        </w:rPr>
        <w:t>ων</w:t>
      </w:r>
      <w:r w:rsidRPr="00E84F92">
        <w:rPr>
          <w:rFonts w:ascii="Arial" w:hAnsi="Arial" w:cs="Arial"/>
          <w:szCs w:val="22"/>
        </w:rPr>
        <w:t xml:space="preserve"> επιχειρηματικ</w:t>
      </w:r>
      <w:r w:rsidRPr="00E84F92">
        <w:rPr>
          <w:rFonts w:ascii="Arial" w:hAnsi="Arial" w:cs="Arial"/>
          <w:szCs w:val="22"/>
          <w:lang w:val="el-GR"/>
        </w:rPr>
        <w:t>ών</w:t>
      </w:r>
      <w:r w:rsidRPr="00E84F92">
        <w:rPr>
          <w:rFonts w:ascii="Arial" w:hAnsi="Arial" w:cs="Arial"/>
          <w:szCs w:val="22"/>
        </w:rPr>
        <w:t xml:space="preserve"> μοντέλ</w:t>
      </w:r>
      <w:r w:rsidRPr="00E84F92">
        <w:rPr>
          <w:rFonts w:ascii="Arial" w:hAnsi="Arial" w:cs="Arial"/>
          <w:szCs w:val="22"/>
          <w:lang w:val="el-GR"/>
        </w:rPr>
        <w:t xml:space="preserve">ων των τραπεζών </w:t>
      </w:r>
      <w:r w:rsidRPr="00E84F92">
        <w:rPr>
          <w:rFonts w:ascii="Arial" w:hAnsi="Arial" w:cs="Arial"/>
          <w:szCs w:val="22"/>
        </w:rPr>
        <w:t xml:space="preserve">θα πρέπει να </w:t>
      </w:r>
      <w:r w:rsidRPr="00E84F92">
        <w:rPr>
          <w:rFonts w:ascii="Arial" w:hAnsi="Arial" w:cs="Arial"/>
          <w:szCs w:val="22"/>
          <w:lang w:val="el-GR"/>
        </w:rPr>
        <w:t xml:space="preserve">αποτελεί </w:t>
      </w:r>
      <w:r w:rsidRPr="00E84F92">
        <w:rPr>
          <w:rFonts w:ascii="Arial" w:hAnsi="Arial" w:cs="Arial"/>
          <w:szCs w:val="22"/>
        </w:rPr>
        <w:t xml:space="preserve">αναπόσπαστο μέρος της προληπτικής εποπτείας, ενώ θα πρέπει να ενθαρρύνονται τα εποπτικά μέτρα έγκαιρης παρέμβασης.  </w:t>
      </w:r>
    </w:p>
    <w:p w14:paraId="08A89A9E" w14:textId="77777777" w:rsidR="00E84F92" w:rsidRPr="00E84F92" w:rsidRDefault="00E84F92" w:rsidP="00E84F92">
      <w:pPr>
        <w:pStyle w:val="P68B1DB1-BodyTextIndent33"/>
        <w:numPr>
          <w:ilvl w:val="1"/>
          <w:numId w:val="12"/>
        </w:numPr>
        <w:spacing w:before="120" w:line="360" w:lineRule="auto"/>
        <w:ind w:left="567" w:hanging="567"/>
        <w:jc w:val="both"/>
        <w:rPr>
          <w:rFonts w:ascii="Arial" w:hAnsi="Arial" w:cs="Arial"/>
          <w:szCs w:val="22"/>
        </w:rPr>
      </w:pPr>
      <w:r w:rsidRPr="00E84F92">
        <w:rPr>
          <w:rFonts w:ascii="Arial" w:hAnsi="Arial" w:cs="Arial"/>
          <w:szCs w:val="22"/>
          <w:lang w:val="el-GR"/>
        </w:rPr>
        <w:t xml:space="preserve">Με βάση την εμπειρία του παρελθόντος, έχουν καταστεί εμφανή </w:t>
      </w:r>
      <w:r w:rsidRPr="00E84F92">
        <w:rPr>
          <w:rFonts w:ascii="Arial" w:hAnsi="Arial" w:cs="Arial"/>
          <w:szCs w:val="22"/>
        </w:rPr>
        <w:t xml:space="preserve">τα πλεονεκτήματα της δημιουργίας κατάλληλου μακροπροληπτικού χώρου σε μια </w:t>
      </w:r>
      <w:r w:rsidRPr="00E84F92">
        <w:rPr>
          <w:rFonts w:ascii="Arial" w:hAnsi="Arial" w:cs="Arial"/>
          <w:szCs w:val="22"/>
          <w:lang w:val="el-GR"/>
        </w:rPr>
        <w:t>περίοδο</w:t>
      </w:r>
      <w:r w:rsidRPr="00E84F92">
        <w:rPr>
          <w:rFonts w:ascii="Arial" w:hAnsi="Arial" w:cs="Arial"/>
          <w:szCs w:val="22"/>
        </w:rPr>
        <w:t xml:space="preserve"> διευκολυντικής νομισματικής πολιτικής</w:t>
      </w:r>
      <w:r w:rsidRPr="00E84F92">
        <w:rPr>
          <w:rFonts w:ascii="Arial" w:hAnsi="Arial" w:cs="Arial"/>
          <w:i/>
          <w:szCs w:val="22"/>
        </w:rPr>
        <w:t>.</w:t>
      </w:r>
      <w:r w:rsidRPr="00E84F92">
        <w:rPr>
          <w:rFonts w:ascii="Arial" w:hAnsi="Arial" w:cs="Arial"/>
          <w:szCs w:val="22"/>
        </w:rPr>
        <w:t xml:space="preserve"> Η πανδημία </w:t>
      </w:r>
      <w:r w:rsidRPr="00E84F92">
        <w:rPr>
          <w:rFonts w:ascii="Arial" w:hAnsi="Arial" w:cs="Arial"/>
          <w:szCs w:val="22"/>
          <w:lang w:val="el-GR"/>
        </w:rPr>
        <w:t>αν</w:t>
      </w:r>
      <w:r w:rsidRPr="00E84F92">
        <w:rPr>
          <w:rFonts w:ascii="Arial" w:hAnsi="Arial" w:cs="Arial"/>
          <w:szCs w:val="22"/>
        </w:rPr>
        <w:t xml:space="preserve">έδειξε τη σημασία της </w:t>
      </w:r>
      <w:r w:rsidRPr="00E84F92">
        <w:rPr>
          <w:rFonts w:ascii="Arial" w:hAnsi="Arial" w:cs="Arial"/>
          <w:szCs w:val="22"/>
          <w:lang w:val="el-GR"/>
        </w:rPr>
        <w:t xml:space="preserve">δημιουργίας </w:t>
      </w:r>
      <w:r w:rsidRPr="00E84F92">
        <w:rPr>
          <w:rFonts w:ascii="Arial" w:hAnsi="Arial" w:cs="Arial"/>
          <w:szCs w:val="22"/>
        </w:rPr>
        <w:t>μακροπροληπτικών κεφαλαιακών αποθεμάτων ασφαλείας</w:t>
      </w:r>
      <w:r w:rsidRPr="00E84F92">
        <w:rPr>
          <w:rFonts w:ascii="Arial" w:hAnsi="Arial" w:cs="Arial"/>
          <w:szCs w:val="22"/>
          <w:lang w:val="el-GR"/>
        </w:rPr>
        <w:t xml:space="preserve">, τα οποία μπορούν να αποδεσμεύονται σε περίπτωση </w:t>
      </w:r>
      <w:r w:rsidRPr="00E84F92">
        <w:rPr>
          <w:rFonts w:ascii="Arial" w:hAnsi="Arial" w:cs="Arial"/>
          <w:szCs w:val="22"/>
        </w:rPr>
        <w:t xml:space="preserve">απρόβλεπτων </w:t>
      </w:r>
      <w:r w:rsidRPr="00E84F92">
        <w:rPr>
          <w:rFonts w:ascii="Arial" w:hAnsi="Arial" w:cs="Arial"/>
          <w:szCs w:val="22"/>
          <w:lang w:val="el-GR"/>
        </w:rPr>
        <w:t xml:space="preserve">διαταραχών με σκοπό την άμβλυνση των </w:t>
      </w:r>
      <w:r w:rsidRPr="00E84F92">
        <w:rPr>
          <w:rFonts w:ascii="Arial" w:hAnsi="Arial" w:cs="Arial"/>
          <w:szCs w:val="22"/>
        </w:rPr>
        <w:t xml:space="preserve">επιπτώσεων στο χρηματοπιστωτικό τομέα και στην πραγματική οικονομία. Επιπλέον, τα μακροπροληπτικά κεφαλαιακά αποθέματα ασφαλείας και τα μέτρα </w:t>
      </w:r>
      <w:r w:rsidRPr="00E84F92">
        <w:rPr>
          <w:rFonts w:ascii="Arial" w:hAnsi="Arial" w:cs="Arial"/>
          <w:szCs w:val="22"/>
          <w:lang w:val="el-GR"/>
        </w:rPr>
        <w:t>που εφαρμόζονται σε επίπεδο</w:t>
      </w:r>
      <w:r w:rsidRPr="00E84F92">
        <w:rPr>
          <w:rFonts w:ascii="Arial" w:hAnsi="Arial" w:cs="Arial"/>
          <w:szCs w:val="22"/>
        </w:rPr>
        <w:t xml:space="preserve"> δανειολήπτ</w:t>
      </w:r>
      <w:r w:rsidRPr="00E84F92">
        <w:rPr>
          <w:rFonts w:ascii="Arial" w:hAnsi="Arial" w:cs="Arial"/>
          <w:szCs w:val="22"/>
          <w:lang w:val="el-GR"/>
        </w:rPr>
        <w:t>η</w:t>
      </w:r>
      <w:r w:rsidRPr="00E84F92">
        <w:rPr>
          <w:rFonts w:ascii="Arial" w:hAnsi="Arial" w:cs="Arial"/>
          <w:szCs w:val="22"/>
        </w:rPr>
        <w:t xml:space="preserve"> </w:t>
      </w:r>
      <w:r w:rsidRPr="00E84F92">
        <w:rPr>
          <w:rFonts w:ascii="Arial" w:hAnsi="Arial" w:cs="Arial"/>
          <w:szCs w:val="22"/>
          <w:lang w:val="el-GR"/>
        </w:rPr>
        <w:t xml:space="preserve">είναι δυνατόν </w:t>
      </w:r>
      <w:r w:rsidRPr="00E84F92">
        <w:rPr>
          <w:rFonts w:ascii="Arial" w:hAnsi="Arial" w:cs="Arial"/>
          <w:szCs w:val="22"/>
        </w:rPr>
        <w:t>να μετριάσουν τις</w:t>
      </w:r>
      <w:r w:rsidRPr="00E84F92">
        <w:rPr>
          <w:rFonts w:ascii="Arial" w:hAnsi="Arial" w:cs="Arial"/>
          <w:szCs w:val="22"/>
          <w:lang w:val="el-GR"/>
        </w:rPr>
        <w:t xml:space="preserve"> επιδράσεις </w:t>
      </w:r>
      <w:r w:rsidRPr="00E84F92">
        <w:rPr>
          <w:rFonts w:ascii="Arial" w:hAnsi="Arial" w:cs="Arial"/>
          <w:szCs w:val="22"/>
        </w:rPr>
        <w:t xml:space="preserve">της διευκολυντικής </w:t>
      </w:r>
      <w:r w:rsidRPr="00E84F92">
        <w:rPr>
          <w:rFonts w:ascii="Arial" w:hAnsi="Arial" w:cs="Arial"/>
          <w:szCs w:val="22"/>
        </w:rPr>
        <w:lastRenderedPageBreak/>
        <w:t xml:space="preserve">νομισματικής πολιτικής στον πιστωτικό και χρηματοπιστωτικό κύκλο, καθώς και να ενισχύσουν την ανθεκτικότητα του χρηματοπιστωτικού τομέα. </w:t>
      </w:r>
    </w:p>
    <w:p w14:paraId="47404995" w14:textId="77777777" w:rsidR="00E84F92" w:rsidRPr="00E84F92" w:rsidRDefault="00E84F92" w:rsidP="00E84F92">
      <w:pPr>
        <w:pStyle w:val="P68B1DB1-BodyTextIndent33"/>
        <w:numPr>
          <w:ilvl w:val="1"/>
          <w:numId w:val="12"/>
        </w:numPr>
        <w:spacing w:before="120" w:line="360" w:lineRule="auto"/>
        <w:ind w:left="567" w:hanging="567"/>
        <w:jc w:val="both"/>
        <w:rPr>
          <w:rFonts w:ascii="Arial" w:hAnsi="Arial" w:cs="Arial"/>
          <w:szCs w:val="22"/>
        </w:rPr>
      </w:pPr>
      <w:r w:rsidRPr="00E84F92">
        <w:rPr>
          <w:rFonts w:ascii="Arial" w:hAnsi="Arial" w:cs="Arial"/>
          <w:szCs w:val="22"/>
        </w:rPr>
        <w:t>Τέλος, η ενίσχυση του πλαισίου διαχείρισης κρίσεων στη ζώνη του ευρώ σε συνδυασμό με την ολοκλήρωση της Τραπεζικής Ένωσης (</w:t>
      </w:r>
      <w:r w:rsidRPr="00E84F92">
        <w:rPr>
          <w:rFonts w:ascii="Arial" w:hAnsi="Arial" w:cs="Arial"/>
          <w:szCs w:val="22"/>
          <w:lang w:val="el-GR"/>
        </w:rPr>
        <w:t xml:space="preserve">μέσω της δημιουργίας και </w:t>
      </w:r>
      <w:r w:rsidRPr="00E84F92">
        <w:rPr>
          <w:rFonts w:ascii="Arial" w:hAnsi="Arial" w:cs="Arial"/>
          <w:szCs w:val="22"/>
        </w:rPr>
        <w:t xml:space="preserve">του Ευρωπαϊκού Συστήματος Ασφάλισης Καταθέσεων) θα </w:t>
      </w:r>
      <w:r w:rsidRPr="00E84F92">
        <w:rPr>
          <w:rFonts w:ascii="Arial" w:hAnsi="Arial" w:cs="Arial"/>
          <w:szCs w:val="22"/>
          <w:lang w:val="el-GR"/>
        </w:rPr>
        <w:t>αυξήσει</w:t>
      </w:r>
      <w:r w:rsidRPr="00E84F92">
        <w:rPr>
          <w:rFonts w:ascii="Arial" w:hAnsi="Arial" w:cs="Arial"/>
          <w:szCs w:val="22"/>
        </w:rPr>
        <w:t xml:space="preserve"> την ετοιμότητα </w:t>
      </w:r>
      <w:r w:rsidRPr="00E84F92">
        <w:rPr>
          <w:rFonts w:ascii="Arial" w:hAnsi="Arial" w:cs="Arial"/>
          <w:szCs w:val="22"/>
          <w:lang w:val="el-GR"/>
        </w:rPr>
        <w:t xml:space="preserve">απέναντι σε </w:t>
      </w:r>
      <w:r w:rsidRPr="00E84F92">
        <w:rPr>
          <w:rFonts w:ascii="Arial" w:hAnsi="Arial" w:cs="Arial"/>
          <w:szCs w:val="22"/>
        </w:rPr>
        <w:t>τραπεζικ</w:t>
      </w:r>
      <w:r w:rsidRPr="00E84F92">
        <w:rPr>
          <w:rFonts w:ascii="Arial" w:hAnsi="Arial" w:cs="Arial"/>
          <w:szCs w:val="22"/>
          <w:lang w:val="el-GR"/>
        </w:rPr>
        <w:t xml:space="preserve">ές </w:t>
      </w:r>
      <w:r w:rsidRPr="00E84F92">
        <w:rPr>
          <w:rFonts w:ascii="Arial" w:hAnsi="Arial" w:cs="Arial"/>
          <w:szCs w:val="22"/>
        </w:rPr>
        <w:t>κρίσε</w:t>
      </w:r>
      <w:r w:rsidRPr="00E84F92">
        <w:rPr>
          <w:rFonts w:ascii="Arial" w:hAnsi="Arial" w:cs="Arial"/>
          <w:szCs w:val="22"/>
          <w:lang w:val="el-GR"/>
        </w:rPr>
        <w:t>ις</w:t>
      </w:r>
      <w:r w:rsidRPr="00E84F92">
        <w:rPr>
          <w:rFonts w:ascii="Arial" w:hAnsi="Arial" w:cs="Arial"/>
          <w:szCs w:val="22"/>
        </w:rPr>
        <w:t xml:space="preserve">. Μέχρι στιγμής, ο τραπεζικός τομέας της ΕΕ φαίνεται να έχει </w:t>
      </w:r>
      <w:r w:rsidRPr="00E84F92">
        <w:rPr>
          <w:rFonts w:ascii="Arial" w:hAnsi="Arial" w:cs="Arial"/>
          <w:szCs w:val="22"/>
          <w:lang w:val="el-GR"/>
        </w:rPr>
        <w:t xml:space="preserve">αντεπεξέλθει </w:t>
      </w:r>
      <w:r w:rsidRPr="00E84F92">
        <w:rPr>
          <w:rFonts w:ascii="Arial" w:hAnsi="Arial" w:cs="Arial"/>
          <w:szCs w:val="22"/>
        </w:rPr>
        <w:t xml:space="preserve">ικανοποιητικά </w:t>
      </w:r>
      <w:r w:rsidRPr="00E84F92">
        <w:rPr>
          <w:rFonts w:ascii="Arial" w:hAnsi="Arial" w:cs="Arial"/>
          <w:szCs w:val="22"/>
          <w:lang w:val="el-GR"/>
        </w:rPr>
        <w:t>στις πολλαπλές</w:t>
      </w:r>
      <w:r w:rsidRPr="00E84F92">
        <w:rPr>
          <w:rFonts w:ascii="Arial" w:hAnsi="Arial" w:cs="Arial"/>
          <w:szCs w:val="22"/>
        </w:rPr>
        <w:t xml:space="preserve"> προκλήσεις. Ωστόσο, δεν υπάρχει περιθώριο εφησυχασμού. Οι αρχές θα πρέπει να προετοιμαστούν </w:t>
      </w:r>
      <w:r w:rsidRPr="00E84F92">
        <w:rPr>
          <w:rFonts w:ascii="Arial" w:hAnsi="Arial" w:cs="Arial"/>
          <w:szCs w:val="22"/>
          <w:lang w:val="el-GR"/>
        </w:rPr>
        <w:t>εγκαίρως για τυχόν δυσμενείς οικονομικές συγκυρίες</w:t>
      </w:r>
      <w:r w:rsidRPr="00E84F92">
        <w:rPr>
          <w:rFonts w:ascii="Arial" w:hAnsi="Arial" w:cs="Arial"/>
          <w:szCs w:val="22"/>
        </w:rPr>
        <w:t xml:space="preserve">. Οι προηγούμενες κρίσεις καταδεικνύουν </w:t>
      </w:r>
      <w:r w:rsidRPr="00E84F92">
        <w:rPr>
          <w:rFonts w:ascii="Arial" w:hAnsi="Arial" w:cs="Arial"/>
          <w:szCs w:val="22"/>
          <w:lang w:val="el-GR"/>
        </w:rPr>
        <w:t xml:space="preserve">πόσο σημαντική είναι η </w:t>
      </w:r>
      <w:r w:rsidRPr="00E84F92">
        <w:rPr>
          <w:rFonts w:ascii="Arial" w:hAnsi="Arial" w:cs="Arial"/>
          <w:szCs w:val="22"/>
        </w:rPr>
        <w:t xml:space="preserve">ενίσχυση του θεσμικού πλαισίου πριν από την επέλευση των κινδύνων.  </w:t>
      </w:r>
    </w:p>
    <w:p w14:paraId="0853BD16" w14:textId="77777777" w:rsidR="00E84F92" w:rsidRPr="00E84F92" w:rsidRDefault="00E84F92" w:rsidP="00E84F92">
      <w:pPr>
        <w:pStyle w:val="P68B1DB1-BodyTextIndent33"/>
        <w:numPr>
          <w:ilvl w:val="0"/>
          <w:numId w:val="6"/>
        </w:numPr>
        <w:spacing w:before="120" w:line="360" w:lineRule="auto"/>
        <w:ind w:left="357" w:hanging="357"/>
        <w:jc w:val="both"/>
        <w:rPr>
          <w:rFonts w:ascii="Arial" w:hAnsi="Arial" w:cs="Arial"/>
          <w:szCs w:val="22"/>
        </w:rPr>
      </w:pPr>
      <w:r w:rsidRPr="00E84F92">
        <w:rPr>
          <w:rFonts w:ascii="Arial" w:hAnsi="Arial" w:cs="Arial"/>
          <w:szCs w:val="22"/>
          <w:lang w:val="el-GR"/>
        </w:rPr>
        <w:t xml:space="preserve">Πιστεύω ακράδαντα </w:t>
      </w:r>
      <w:r w:rsidRPr="00E84F92">
        <w:rPr>
          <w:rFonts w:ascii="Arial" w:hAnsi="Arial" w:cs="Arial"/>
          <w:szCs w:val="22"/>
        </w:rPr>
        <w:t xml:space="preserve">ότι, </w:t>
      </w:r>
      <w:r w:rsidRPr="00E84F92">
        <w:rPr>
          <w:rFonts w:ascii="Arial" w:hAnsi="Arial" w:cs="Arial"/>
          <w:szCs w:val="22"/>
          <w:lang w:val="el-GR"/>
        </w:rPr>
        <w:t xml:space="preserve">όσο περισσότερο προχωρεί η ενοποίηση και αυξάνεται ο </w:t>
      </w:r>
      <w:r w:rsidRPr="00E84F92">
        <w:rPr>
          <w:rFonts w:ascii="Arial" w:hAnsi="Arial" w:cs="Arial"/>
          <w:szCs w:val="22"/>
        </w:rPr>
        <w:t>συντονισμ</w:t>
      </w:r>
      <w:r w:rsidRPr="00E84F92">
        <w:rPr>
          <w:rFonts w:ascii="Arial" w:hAnsi="Arial" w:cs="Arial"/>
          <w:szCs w:val="22"/>
          <w:lang w:val="el-GR"/>
        </w:rPr>
        <w:t>ός</w:t>
      </w:r>
      <w:r w:rsidRPr="00E84F92">
        <w:rPr>
          <w:rFonts w:ascii="Arial" w:hAnsi="Arial" w:cs="Arial"/>
          <w:szCs w:val="22"/>
        </w:rPr>
        <w:t xml:space="preserve"> των πολιτικών στη Νομισματική Ένωση</w:t>
      </w:r>
      <w:r w:rsidRPr="00E84F92">
        <w:rPr>
          <w:rFonts w:ascii="Arial" w:hAnsi="Arial" w:cs="Arial"/>
          <w:szCs w:val="22"/>
          <w:lang w:val="el-GR"/>
        </w:rPr>
        <w:t>,</w:t>
      </w:r>
      <w:r w:rsidRPr="00E84F92">
        <w:rPr>
          <w:rFonts w:ascii="Arial" w:hAnsi="Arial" w:cs="Arial"/>
          <w:szCs w:val="22"/>
        </w:rPr>
        <w:t xml:space="preserve"> με </w:t>
      </w:r>
      <w:r w:rsidRPr="00E84F92">
        <w:rPr>
          <w:rFonts w:ascii="Arial" w:hAnsi="Arial" w:cs="Arial"/>
          <w:szCs w:val="22"/>
          <w:lang w:val="el-GR"/>
        </w:rPr>
        <w:t xml:space="preserve">τη δημιουργία μιας πλήρως λειτουργικής Ένωσης Κεφαλαιαγορών και </w:t>
      </w:r>
      <w:r w:rsidRPr="00E84F92">
        <w:rPr>
          <w:rFonts w:ascii="Arial" w:hAnsi="Arial" w:cs="Arial"/>
          <w:szCs w:val="22"/>
        </w:rPr>
        <w:t xml:space="preserve">την ολοκλήρωση της Τραπεζικής Ένωσης, την οποία θεωρώ υψίστης σημασίας, </w:t>
      </w:r>
      <w:r w:rsidRPr="00E84F92">
        <w:rPr>
          <w:rFonts w:ascii="Arial" w:hAnsi="Arial" w:cs="Arial"/>
          <w:szCs w:val="22"/>
          <w:lang w:val="el-GR"/>
        </w:rPr>
        <w:t xml:space="preserve">τόσο περισσότερο θα ενισχύεται η ανθεκτικότητα της </w:t>
      </w:r>
      <w:r w:rsidRPr="00E84F92">
        <w:rPr>
          <w:rFonts w:ascii="Arial" w:hAnsi="Arial" w:cs="Arial"/>
          <w:szCs w:val="22"/>
        </w:rPr>
        <w:t>οικονομία</w:t>
      </w:r>
      <w:r w:rsidRPr="00E84F92">
        <w:rPr>
          <w:rFonts w:ascii="Arial" w:hAnsi="Arial" w:cs="Arial"/>
          <w:szCs w:val="22"/>
          <w:lang w:val="el-GR"/>
        </w:rPr>
        <w:t>ς</w:t>
      </w:r>
      <w:r w:rsidRPr="00E84F92">
        <w:rPr>
          <w:rFonts w:ascii="Arial" w:hAnsi="Arial" w:cs="Arial"/>
          <w:szCs w:val="22"/>
        </w:rPr>
        <w:t xml:space="preserve"> της ζώνης του ευρώ και το</w:t>
      </w:r>
      <w:r w:rsidRPr="00E84F92">
        <w:rPr>
          <w:rFonts w:ascii="Arial" w:hAnsi="Arial" w:cs="Arial"/>
          <w:szCs w:val="22"/>
          <w:lang w:val="el-GR"/>
        </w:rPr>
        <w:t>υ</w:t>
      </w:r>
      <w:r w:rsidRPr="00E84F92">
        <w:rPr>
          <w:rFonts w:ascii="Arial" w:hAnsi="Arial" w:cs="Arial"/>
          <w:szCs w:val="22"/>
        </w:rPr>
        <w:t xml:space="preserve"> χρηματοπιστωτικ</w:t>
      </w:r>
      <w:r w:rsidRPr="00E84F92">
        <w:rPr>
          <w:rFonts w:ascii="Arial" w:hAnsi="Arial" w:cs="Arial"/>
          <w:szCs w:val="22"/>
          <w:lang w:val="el-GR"/>
        </w:rPr>
        <w:t>ού</w:t>
      </w:r>
      <w:r w:rsidRPr="00E84F92">
        <w:rPr>
          <w:rFonts w:ascii="Arial" w:hAnsi="Arial" w:cs="Arial"/>
          <w:szCs w:val="22"/>
        </w:rPr>
        <w:t xml:space="preserve"> της σ</w:t>
      </w:r>
      <w:r w:rsidRPr="00E84F92">
        <w:rPr>
          <w:rFonts w:ascii="Arial" w:hAnsi="Arial" w:cs="Arial"/>
          <w:szCs w:val="22"/>
          <w:lang w:val="el-GR"/>
        </w:rPr>
        <w:t xml:space="preserve">υστήματος </w:t>
      </w:r>
      <w:r w:rsidRPr="00E84F92">
        <w:rPr>
          <w:rFonts w:ascii="Arial" w:hAnsi="Arial" w:cs="Arial"/>
          <w:szCs w:val="22"/>
        </w:rPr>
        <w:t>σε μελλοντικ</w:t>
      </w:r>
      <w:r w:rsidRPr="00E84F92">
        <w:rPr>
          <w:rFonts w:ascii="Arial" w:hAnsi="Arial" w:cs="Arial"/>
          <w:szCs w:val="22"/>
          <w:lang w:val="el-GR"/>
        </w:rPr>
        <w:t>ές διαταραχές</w:t>
      </w:r>
      <w:r w:rsidRPr="00E84F92">
        <w:rPr>
          <w:rFonts w:ascii="Arial" w:hAnsi="Arial" w:cs="Arial"/>
          <w:szCs w:val="22"/>
        </w:rPr>
        <w:t xml:space="preserve"> και δυσμενείς γεωπολιτικές εξελίξεις. Κάθε βήμα </w:t>
      </w:r>
      <w:r w:rsidRPr="00E84F92">
        <w:rPr>
          <w:rFonts w:ascii="Arial" w:hAnsi="Arial" w:cs="Arial"/>
          <w:szCs w:val="22"/>
          <w:lang w:val="el-GR"/>
        </w:rPr>
        <w:t xml:space="preserve">σ’ αυτή την πορεία </w:t>
      </w:r>
      <w:r w:rsidRPr="00E84F92">
        <w:rPr>
          <w:rFonts w:ascii="Arial" w:hAnsi="Arial" w:cs="Arial"/>
          <w:szCs w:val="22"/>
        </w:rPr>
        <w:t>μπορεί να έχει δυσκολίες, αλλά τ</w:t>
      </w:r>
      <w:r w:rsidRPr="00E84F92">
        <w:rPr>
          <w:rFonts w:ascii="Arial" w:hAnsi="Arial" w:cs="Arial"/>
          <w:szCs w:val="22"/>
          <w:lang w:val="el-GR"/>
        </w:rPr>
        <w:t xml:space="preserve">α οφέλη </w:t>
      </w:r>
      <w:r w:rsidRPr="00E84F92">
        <w:rPr>
          <w:rFonts w:ascii="Arial" w:hAnsi="Arial" w:cs="Arial"/>
          <w:szCs w:val="22"/>
        </w:rPr>
        <w:t>αξίζ</w:t>
      </w:r>
      <w:r w:rsidRPr="00E84F92">
        <w:rPr>
          <w:rFonts w:ascii="Arial" w:hAnsi="Arial" w:cs="Arial"/>
          <w:szCs w:val="22"/>
          <w:lang w:val="el-GR"/>
        </w:rPr>
        <w:t>ουν</w:t>
      </w:r>
      <w:r w:rsidRPr="00E84F92">
        <w:rPr>
          <w:rFonts w:ascii="Arial" w:hAnsi="Arial" w:cs="Arial"/>
          <w:szCs w:val="22"/>
        </w:rPr>
        <w:t xml:space="preserve"> την προσπάθεια. </w:t>
      </w:r>
    </w:p>
    <w:p w14:paraId="0F89B44F" w14:textId="77777777" w:rsidR="00E84F92" w:rsidRPr="00E84F92" w:rsidRDefault="00E84F92" w:rsidP="00E84F92">
      <w:pPr>
        <w:pStyle w:val="P68B1DB1-BodyTextIndent33"/>
        <w:numPr>
          <w:ilvl w:val="0"/>
          <w:numId w:val="6"/>
        </w:numPr>
        <w:spacing w:before="120" w:line="360" w:lineRule="auto"/>
        <w:jc w:val="both"/>
        <w:rPr>
          <w:rFonts w:ascii="Arial" w:hAnsi="Arial" w:cs="Arial"/>
          <w:szCs w:val="22"/>
        </w:rPr>
      </w:pPr>
      <w:r w:rsidRPr="00E84F92">
        <w:rPr>
          <w:rFonts w:ascii="Arial" w:hAnsi="Arial" w:cs="Arial"/>
          <w:szCs w:val="22"/>
        </w:rPr>
        <w:t>Είναι υψίστης σημασίας να συνειδητοποιήσουμε ότι σε έναν εξαιρετικά αβέβαιο και κατακερματισμένο κόσμο, ο οποίος υ</w:t>
      </w:r>
      <w:r w:rsidRPr="00E84F92">
        <w:rPr>
          <w:rFonts w:ascii="Arial" w:hAnsi="Arial" w:cs="Arial"/>
          <w:szCs w:val="22"/>
          <w:lang w:val="el-GR"/>
        </w:rPr>
        <w:t xml:space="preserve">φίσταται </w:t>
      </w:r>
      <w:r w:rsidRPr="00E84F92">
        <w:rPr>
          <w:rFonts w:ascii="Arial" w:hAnsi="Arial" w:cs="Arial"/>
          <w:szCs w:val="22"/>
        </w:rPr>
        <w:t xml:space="preserve">συνεχείς </w:t>
      </w:r>
      <w:r w:rsidRPr="00E84F92">
        <w:rPr>
          <w:rFonts w:ascii="Arial" w:hAnsi="Arial" w:cs="Arial"/>
          <w:szCs w:val="22"/>
          <w:lang w:val="el-GR"/>
        </w:rPr>
        <w:t>διαταραχές</w:t>
      </w:r>
      <w:r w:rsidRPr="00E84F92">
        <w:rPr>
          <w:rFonts w:ascii="Arial" w:hAnsi="Arial" w:cs="Arial"/>
          <w:szCs w:val="22"/>
        </w:rPr>
        <w:t xml:space="preserve"> από την πλευρά της προσφοράς, κυρίως λόγω γεωπολιτικών εντάσεων, το αποτέλεσμα είναι υψηλότερες τιμές παραγωγού και καταναλωτή καθώς και χαμηλότερη παραγωγή και απασχόληση. Η εισβολή της Ρωσίας στην Ουκρανία</w:t>
      </w:r>
      <w:r w:rsidRPr="00E84F92">
        <w:rPr>
          <w:rFonts w:ascii="Arial" w:hAnsi="Arial" w:cs="Arial"/>
          <w:szCs w:val="22"/>
          <w:lang w:val="el-GR"/>
        </w:rPr>
        <w:t>,</w:t>
      </w:r>
      <w:r w:rsidRPr="00E84F92">
        <w:rPr>
          <w:rFonts w:ascii="Arial" w:hAnsi="Arial" w:cs="Arial"/>
          <w:szCs w:val="22"/>
        </w:rPr>
        <w:t xml:space="preserve"> </w:t>
      </w:r>
      <w:r w:rsidRPr="00E84F92">
        <w:rPr>
          <w:rFonts w:ascii="Arial" w:hAnsi="Arial" w:cs="Arial"/>
          <w:szCs w:val="22"/>
          <w:lang w:val="el-GR"/>
        </w:rPr>
        <w:t>με τον</w:t>
      </w:r>
      <w:r w:rsidRPr="00E84F92">
        <w:rPr>
          <w:rFonts w:ascii="Arial" w:hAnsi="Arial" w:cs="Arial"/>
          <w:szCs w:val="22"/>
        </w:rPr>
        <w:t xml:space="preserve"> πόλεμο </w:t>
      </w:r>
      <w:r w:rsidRPr="00E84F92">
        <w:rPr>
          <w:rFonts w:ascii="Arial" w:hAnsi="Arial" w:cs="Arial"/>
          <w:szCs w:val="22"/>
          <w:lang w:val="el-GR"/>
        </w:rPr>
        <w:t xml:space="preserve">να συνεχίζεται επί </w:t>
      </w:r>
      <w:r w:rsidRPr="00E84F92">
        <w:rPr>
          <w:rFonts w:ascii="Arial" w:hAnsi="Arial" w:cs="Arial"/>
          <w:szCs w:val="22"/>
        </w:rPr>
        <w:t xml:space="preserve">δύο χρόνια, είχε πολύ σοβαρές επιπτώσεις στην οικονομία της ζώνης του ευρώ: ο πληθωρισμός και τα επιτόκια </w:t>
      </w:r>
      <w:r w:rsidRPr="00E84F92">
        <w:rPr>
          <w:rFonts w:ascii="Arial" w:hAnsi="Arial" w:cs="Arial"/>
          <w:szCs w:val="22"/>
          <w:lang w:val="el-GR"/>
        </w:rPr>
        <w:t xml:space="preserve">είναι </w:t>
      </w:r>
      <w:r w:rsidRPr="00E84F92">
        <w:rPr>
          <w:rFonts w:ascii="Arial" w:hAnsi="Arial" w:cs="Arial"/>
          <w:szCs w:val="22"/>
        </w:rPr>
        <w:t xml:space="preserve">πολύ υψηλότερα και </w:t>
      </w:r>
      <w:r w:rsidRPr="00E84F92">
        <w:rPr>
          <w:rFonts w:ascii="Arial" w:hAnsi="Arial" w:cs="Arial"/>
          <w:szCs w:val="22"/>
          <w:lang w:val="el-GR"/>
        </w:rPr>
        <w:t xml:space="preserve">ο ρυθμός </w:t>
      </w:r>
      <w:r w:rsidRPr="00E84F92">
        <w:rPr>
          <w:rFonts w:ascii="Arial" w:hAnsi="Arial" w:cs="Arial"/>
          <w:szCs w:val="22"/>
        </w:rPr>
        <w:t>αύξηση</w:t>
      </w:r>
      <w:r w:rsidRPr="00E84F92">
        <w:rPr>
          <w:rFonts w:ascii="Arial" w:hAnsi="Arial" w:cs="Arial"/>
          <w:szCs w:val="22"/>
          <w:lang w:val="el-GR"/>
        </w:rPr>
        <w:t>ς</w:t>
      </w:r>
      <w:r w:rsidRPr="00E84F92">
        <w:rPr>
          <w:rFonts w:ascii="Arial" w:hAnsi="Arial" w:cs="Arial"/>
          <w:szCs w:val="22"/>
        </w:rPr>
        <w:t xml:space="preserve"> του ΑΕΠ χαμηλότερ</w:t>
      </w:r>
      <w:r w:rsidRPr="00E84F92">
        <w:rPr>
          <w:rFonts w:ascii="Arial" w:hAnsi="Arial" w:cs="Arial"/>
          <w:szCs w:val="22"/>
          <w:lang w:val="el-GR"/>
        </w:rPr>
        <w:t>ος</w:t>
      </w:r>
      <w:r w:rsidRPr="00E84F92">
        <w:rPr>
          <w:rFonts w:ascii="Arial" w:hAnsi="Arial" w:cs="Arial"/>
          <w:szCs w:val="22"/>
        </w:rPr>
        <w:t xml:space="preserve"> από ό,τι </w:t>
      </w:r>
      <w:r w:rsidRPr="00E84F92">
        <w:rPr>
          <w:rFonts w:ascii="Arial" w:hAnsi="Arial" w:cs="Arial"/>
          <w:szCs w:val="22"/>
          <w:lang w:val="el-GR"/>
        </w:rPr>
        <w:t>αν δεν είχε συμβεί αυτή η τραγική σύγκρουση,</w:t>
      </w:r>
      <w:r w:rsidRPr="00E84F92">
        <w:rPr>
          <w:rFonts w:ascii="Arial" w:hAnsi="Arial" w:cs="Arial"/>
          <w:szCs w:val="22"/>
        </w:rPr>
        <w:t xml:space="preserve"> ο πρώτος μεγάλος πόλεμος στην Ευρώπη από το 1945, με εκατοντάδες χιλιάδες αθώα θύματα.</w:t>
      </w:r>
    </w:p>
    <w:p w14:paraId="30D700D5" w14:textId="77777777" w:rsidR="00E84F92" w:rsidRPr="00E84F92" w:rsidRDefault="00E84F92" w:rsidP="00E84F92">
      <w:pPr>
        <w:pStyle w:val="P68B1DB1-BodyTextIndent33"/>
        <w:numPr>
          <w:ilvl w:val="0"/>
          <w:numId w:val="6"/>
        </w:numPr>
        <w:spacing w:before="120" w:line="360" w:lineRule="auto"/>
        <w:jc w:val="both"/>
        <w:rPr>
          <w:rFonts w:ascii="Arial" w:hAnsi="Arial" w:cs="Arial"/>
          <w:szCs w:val="22"/>
        </w:rPr>
      </w:pPr>
      <w:r w:rsidRPr="00E84F92">
        <w:rPr>
          <w:rFonts w:ascii="Arial" w:hAnsi="Arial" w:cs="Arial"/>
          <w:szCs w:val="22"/>
        </w:rPr>
        <w:t>Αυτ</w:t>
      </w:r>
      <w:r w:rsidRPr="00E84F92">
        <w:rPr>
          <w:rFonts w:ascii="Arial" w:hAnsi="Arial" w:cs="Arial"/>
          <w:szCs w:val="22"/>
          <w:lang w:val="el-GR"/>
        </w:rPr>
        <w:t>ή η τεράστια διαταραχή</w:t>
      </w:r>
      <w:r w:rsidRPr="00E84F92">
        <w:rPr>
          <w:rFonts w:ascii="Arial" w:hAnsi="Arial" w:cs="Arial"/>
          <w:szCs w:val="22"/>
        </w:rPr>
        <w:t xml:space="preserve"> από την πλευρά της προσφοράς </w:t>
      </w:r>
      <w:r w:rsidRPr="00E84F92">
        <w:rPr>
          <w:rFonts w:ascii="Arial" w:hAnsi="Arial" w:cs="Arial"/>
          <w:szCs w:val="22"/>
          <w:lang w:val="el-GR"/>
        </w:rPr>
        <w:t>που πλήττει έ</w:t>
      </w:r>
      <w:r w:rsidRPr="00E84F92">
        <w:rPr>
          <w:rFonts w:ascii="Arial" w:hAnsi="Arial" w:cs="Arial"/>
          <w:szCs w:val="22"/>
        </w:rPr>
        <w:t xml:space="preserve">ναν καθαρό εισαγωγέα ενέργειας όπως η ζώνη του ευρώ, </w:t>
      </w:r>
      <w:r w:rsidRPr="00E84F92">
        <w:rPr>
          <w:rFonts w:ascii="Arial" w:hAnsi="Arial" w:cs="Arial"/>
          <w:szCs w:val="22"/>
          <w:lang w:val="el-GR"/>
        </w:rPr>
        <w:t>δείχνει</w:t>
      </w:r>
      <w:r w:rsidRPr="00E84F92">
        <w:rPr>
          <w:rFonts w:ascii="Arial" w:hAnsi="Arial" w:cs="Arial"/>
          <w:szCs w:val="22"/>
        </w:rPr>
        <w:t xml:space="preserve"> τις δυσκολίες που αντιμετωπίζει η νομισματική πολιτική.</w:t>
      </w:r>
      <w:r w:rsidRPr="00E84F92">
        <w:rPr>
          <w:rFonts w:ascii="Arial" w:hAnsi="Arial" w:cs="Arial"/>
          <w:szCs w:val="22"/>
          <w:lang w:val="el-GR"/>
        </w:rPr>
        <w:t xml:space="preserve">. </w:t>
      </w:r>
      <w:r w:rsidRPr="00E84F92">
        <w:rPr>
          <w:rFonts w:ascii="Arial" w:hAnsi="Arial" w:cs="Arial"/>
          <w:szCs w:val="22"/>
        </w:rPr>
        <w:t>Ακόμη και αν διαθέτει τις επιθυμητές ιδιότητες</w:t>
      </w:r>
      <w:r w:rsidRPr="00E84F92">
        <w:rPr>
          <w:rFonts w:ascii="Arial" w:hAnsi="Arial" w:cs="Arial"/>
          <w:szCs w:val="22"/>
          <w:lang w:val="el-GR"/>
        </w:rPr>
        <w:t xml:space="preserve"> που προαναφέρθηκαν</w:t>
      </w:r>
      <w:r w:rsidRPr="00E84F92">
        <w:rPr>
          <w:rFonts w:ascii="Arial" w:hAnsi="Arial" w:cs="Arial"/>
          <w:szCs w:val="22"/>
        </w:rPr>
        <w:t xml:space="preserve">, </w:t>
      </w:r>
      <w:r w:rsidRPr="00E84F92">
        <w:rPr>
          <w:rFonts w:ascii="Arial" w:hAnsi="Arial" w:cs="Arial"/>
          <w:szCs w:val="22"/>
          <w:lang w:val="el-GR"/>
        </w:rPr>
        <w:t xml:space="preserve">η νομισματική πολιτική </w:t>
      </w:r>
      <w:r w:rsidRPr="00E84F92">
        <w:rPr>
          <w:rFonts w:ascii="Arial" w:hAnsi="Arial" w:cs="Arial"/>
          <w:szCs w:val="22"/>
        </w:rPr>
        <w:t xml:space="preserve">δεν θα επιτύχει πλήρως και ικανοποιητικά τον σταθεροποιητικό της ρόλο, </w:t>
      </w:r>
      <w:r w:rsidRPr="00E84F92">
        <w:rPr>
          <w:rFonts w:ascii="Arial" w:hAnsi="Arial" w:cs="Arial"/>
          <w:szCs w:val="22"/>
          <w:lang w:val="el-GR"/>
        </w:rPr>
        <w:t xml:space="preserve">παρά μόνο αν </w:t>
      </w:r>
      <w:r w:rsidRPr="00E84F92">
        <w:rPr>
          <w:rFonts w:ascii="Arial" w:hAnsi="Arial" w:cs="Arial"/>
          <w:szCs w:val="22"/>
        </w:rPr>
        <w:t xml:space="preserve">υποστηριχθεί από κατάλληλες δημοσιονομικές και διαρθρωτικές πολιτικές. Και </w:t>
      </w:r>
      <w:r w:rsidRPr="00E84F92">
        <w:rPr>
          <w:rFonts w:ascii="Arial" w:hAnsi="Arial" w:cs="Arial"/>
          <w:szCs w:val="22"/>
          <w:lang w:val="el-GR"/>
        </w:rPr>
        <w:t>αφού</w:t>
      </w:r>
      <w:r w:rsidRPr="00E84F92">
        <w:rPr>
          <w:rFonts w:ascii="Arial" w:hAnsi="Arial" w:cs="Arial"/>
          <w:szCs w:val="22"/>
        </w:rPr>
        <w:t xml:space="preserve"> μιλάμε για τη ζώνη του ευρώ, οφείλω να σας υπενθυμίζω συνεχώς ότι η δημιουργία της Ένωσης Κεφαλαιαγορών, η ολοκλήρωση της Τραπεζικής Ένωσης και συγκεκριμένα βήματα προς μια Δημοσιονομική Ένωση θα αυξήσουν σημαντικά την αποτελεσματικότητα της νομισματικής πολιτικής.</w:t>
      </w:r>
    </w:p>
    <w:p w14:paraId="4347C5D1" w14:textId="77777777" w:rsidR="00E84F92" w:rsidRPr="00E84F92" w:rsidRDefault="00E84F92" w:rsidP="00E84F92">
      <w:pPr>
        <w:pStyle w:val="P68B1DB1-BodyTextIndent33"/>
        <w:numPr>
          <w:ilvl w:val="0"/>
          <w:numId w:val="6"/>
        </w:numPr>
        <w:spacing w:before="120" w:line="360" w:lineRule="auto"/>
        <w:jc w:val="both"/>
        <w:rPr>
          <w:rFonts w:ascii="Arial" w:hAnsi="Arial" w:cs="Arial"/>
          <w:szCs w:val="22"/>
        </w:rPr>
      </w:pPr>
      <w:r w:rsidRPr="00E84F92">
        <w:rPr>
          <w:rFonts w:ascii="Arial" w:hAnsi="Arial" w:cs="Arial"/>
          <w:szCs w:val="22"/>
        </w:rPr>
        <w:lastRenderedPageBreak/>
        <w:t xml:space="preserve">Τέλος, η μεταβλητή που θα καθορίσει σε μεγάλο βαθμό τη βιωσιμότητα όχι μόνο του δημόσιου χρέους αλλά και του ιδιωτικού χρέους, είναι η διαφορά μεταξύ του ονομαστικού </w:t>
      </w:r>
      <w:r w:rsidRPr="00E84F92">
        <w:rPr>
          <w:rFonts w:ascii="Arial" w:hAnsi="Arial" w:cs="Arial"/>
          <w:szCs w:val="22"/>
          <w:lang w:val="el-GR"/>
        </w:rPr>
        <w:t xml:space="preserve">έμμεσου </w:t>
      </w:r>
      <w:r w:rsidRPr="00E84F92">
        <w:rPr>
          <w:rFonts w:ascii="Arial" w:hAnsi="Arial" w:cs="Arial"/>
          <w:szCs w:val="22"/>
        </w:rPr>
        <w:t xml:space="preserve">επιτοκίου αναχρηματοδότησης του χρέους και του </w:t>
      </w:r>
      <w:r w:rsidRPr="00E84F92">
        <w:rPr>
          <w:rFonts w:ascii="Arial" w:hAnsi="Arial" w:cs="Arial"/>
          <w:szCs w:val="22"/>
          <w:lang w:val="el-GR"/>
        </w:rPr>
        <w:t>ρυθμού μεταβολής του ονομαστικού ΑΕΠ (“</w:t>
      </w:r>
      <w:r w:rsidRPr="00E84F92">
        <w:rPr>
          <w:rFonts w:ascii="Arial" w:hAnsi="Arial" w:cs="Arial"/>
          <w:szCs w:val="22"/>
          <w:lang w:val="en-US"/>
        </w:rPr>
        <w:t>snowball</w:t>
      </w:r>
      <w:r w:rsidRPr="00E84F92">
        <w:rPr>
          <w:rFonts w:ascii="Arial" w:hAnsi="Arial" w:cs="Arial"/>
          <w:szCs w:val="22"/>
          <w:lang w:val="el-GR"/>
        </w:rPr>
        <w:t xml:space="preserve"> </w:t>
      </w:r>
      <w:r w:rsidRPr="00E84F92">
        <w:rPr>
          <w:rFonts w:ascii="Arial" w:hAnsi="Arial" w:cs="Arial"/>
          <w:szCs w:val="22"/>
          <w:lang w:val="en-US"/>
        </w:rPr>
        <w:t>effect</w:t>
      </w:r>
      <w:r w:rsidRPr="00E84F92">
        <w:rPr>
          <w:rFonts w:ascii="Arial" w:hAnsi="Arial" w:cs="Arial"/>
          <w:szCs w:val="22"/>
          <w:lang w:val="el-GR"/>
        </w:rPr>
        <w:t xml:space="preserve">”). Η διαφορά αυτή ήταν επί σειρά ετών αρνητική, δηλαδή </w:t>
      </w:r>
      <w:r w:rsidRPr="00E84F92">
        <w:rPr>
          <w:rFonts w:ascii="Arial" w:hAnsi="Arial" w:cs="Arial"/>
          <w:szCs w:val="22"/>
        </w:rPr>
        <w:t xml:space="preserve">το </w:t>
      </w:r>
      <w:r w:rsidRPr="00E84F92">
        <w:rPr>
          <w:rFonts w:ascii="Arial" w:hAnsi="Arial" w:cs="Arial"/>
          <w:szCs w:val="22"/>
          <w:lang w:val="el-GR"/>
        </w:rPr>
        <w:t xml:space="preserve">εν λόγω </w:t>
      </w:r>
      <w:r w:rsidRPr="00E84F92">
        <w:rPr>
          <w:rFonts w:ascii="Arial" w:hAnsi="Arial" w:cs="Arial"/>
          <w:szCs w:val="22"/>
        </w:rPr>
        <w:t xml:space="preserve">επιτόκιο ήταν </w:t>
      </w:r>
      <w:r w:rsidRPr="00E84F92">
        <w:rPr>
          <w:rFonts w:ascii="Arial" w:hAnsi="Arial" w:cs="Arial"/>
          <w:szCs w:val="22"/>
          <w:lang w:val="el-GR"/>
        </w:rPr>
        <w:t>χαμηλότερο</w:t>
      </w:r>
      <w:r w:rsidRPr="00E84F92">
        <w:rPr>
          <w:rFonts w:ascii="Arial" w:hAnsi="Arial" w:cs="Arial"/>
          <w:szCs w:val="22"/>
        </w:rPr>
        <w:t xml:space="preserve"> από τον ονομαστικό ρυθμό ανάπτυξης</w:t>
      </w:r>
      <w:r w:rsidRPr="00E84F92">
        <w:rPr>
          <w:rFonts w:ascii="Arial" w:hAnsi="Arial" w:cs="Arial"/>
          <w:szCs w:val="22"/>
          <w:lang w:val="el-GR"/>
        </w:rPr>
        <w:t>,</w:t>
      </w:r>
      <w:r w:rsidRPr="00E84F92">
        <w:rPr>
          <w:rFonts w:ascii="Arial" w:hAnsi="Arial" w:cs="Arial"/>
          <w:szCs w:val="22"/>
        </w:rPr>
        <w:t xml:space="preserve"> και συνέβαλ</w:t>
      </w:r>
      <w:r w:rsidRPr="00E84F92">
        <w:rPr>
          <w:rFonts w:ascii="Arial" w:hAnsi="Arial" w:cs="Arial"/>
          <w:szCs w:val="22"/>
          <w:lang w:val="el-GR"/>
        </w:rPr>
        <w:t>λ</w:t>
      </w:r>
      <w:r w:rsidRPr="00E84F92">
        <w:rPr>
          <w:rFonts w:ascii="Arial" w:hAnsi="Arial" w:cs="Arial"/>
          <w:szCs w:val="22"/>
        </w:rPr>
        <w:t xml:space="preserve">ε στη </w:t>
      </w:r>
      <w:r w:rsidRPr="00E84F92">
        <w:rPr>
          <w:rFonts w:ascii="Arial" w:hAnsi="Arial" w:cs="Arial"/>
          <w:szCs w:val="22"/>
          <w:lang w:val="el-GR"/>
        </w:rPr>
        <w:t xml:space="preserve">χρηματοοικονομική </w:t>
      </w:r>
      <w:r w:rsidRPr="00E84F92">
        <w:rPr>
          <w:rFonts w:ascii="Arial" w:hAnsi="Arial" w:cs="Arial"/>
          <w:szCs w:val="22"/>
        </w:rPr>
        <w:t xml:space="preserve">σταθερότητα του δημόσιου και του ιδιωτικού τομέα. Οι υπεύθυνοι χάραξης πολιτικής θα πρέπει να κατανοήσουν τη σημασία </w:t>
      </w:r>
      <w:r w:rsidRPr="00E84F92">
        <w:rPr>
          <w:rFonts w:ascii="Arial" w:hAnsi="Arial" w:cs="Arial"/>
          <w:szCs w:val="22"/>
          <w:lang w:val="el-GR"/>
        </w:rPr>
        <w:t xml:space="preserve">αυτής της μεταβλητής </w:t>
      </w:r>
      <w:r w:rsidRPr="00E84F92">
        <w:rPr>
          <w:rFonts w:ascii="Arial" w:hAnsi="Arial" w:cs="Arial"/>
          <w:szCs w:val="22"/>
        </w:rPr>
        <w:t xml:space="preserve">και να </w:t>
      </w:r>
      <w:r w:rsidRPr="00E84F92">
        <w:rPr>
          <w:rFonts w:ascii="Arial" w:hAnsi="Arial" w:cs="Arial"/>
          <w:szCs w:val="22"/>
          <w:lang w:val="el-GR"/>
        </w:rPr>
        <w:t xml:space="preserve">διασφαλίζουν </w:t>
      </w:r>
      <w:r w:rsidRPr="00E84F92">
        <w:rPr>
          <w:rFonts w:ascii="Arial" w:hAnsi="Arial" w:cs="Arial"/>
          <w:szCs w:val="22"/>
        </w:rPr>
        <w:t xml:space="preserve">ότι έχει το σωστό </w:t>
      </w:r>
      <w:r w:rsidRPr="00E84F92">
        <w:rPr>
          <w:rFonts w:ascii="Arial" w:hAnsi="Arial" w:cs="Arial"/>
          <w:szCs w:val="22"/>
          <w:lang w:val="el-GR"/>
        </w:rPr>
        <w:t>πρόσημο</w:t>
      </w:r>
      <w:r w:rsidRPr="00E84F92">
        <w:rPr>
          <w:rFonts w:ascii="Arial" w:hAnsi="Arial" w:cs="Arial"/>
          <w:szCs w:val="22"/>
        </w:rPr>
        <w:t>, αν όχι πάντ</w:t>
      </w:r>
      <w:r w:rsidRPr="00E84F92">
        <w:rPr>
          <w:rFonts w:ascii="Arial" w:hAnsi="Arial" w:cs="Arial"/>
          <w:szCs w:val="22"/>
          <w:lang w:val="el-GR"/>
        </w:rPr>
        <w:t>οτε</w:t>
      </w:r>
      <w:r w:rsidRPr="00E84F92">
        <w:rPr>
          <w:rFonts w:ascii="Arial" w:hAnsi="Arial" w:cs="Arial"/>
          <w:szCs w:val="22"/>
        </w:rPr>
        <w:t xml:space="preserve">, τουλάχιστον τις περισσότερες φορές. </w:t>
      </w:r>
      <w:r w:rsidRPr="00E84F92">
        <w:rPr>
          <w:rFonts w:ascii="Arial" w:hAnsi="Arial" w:cs="Arial"/>
          <w:szCs w:val="22"/>
          <w:lang w:val="el-GR"/>
        </w:rPr>
        <w:t>Μια ευνοϊκή διαφορά επιτοκίου-ρυθμού ανάπτυξης μ</w:t>
      </w:r>
      <w:r w:rsidRPr="00E84F92">
        <w:rPr>
          <w:rFonts w:ascii="Arial" w:hAnsi="Arial" w:cs="Arial"/>
          <w:szCs w:val="22"/>
        </w:rPr>
        <w:t xml:space="preserve">πορεί να </w:t>
      </w:r>
      <w:r w:rsidRPr="00E84F92">
        <w:rPr>
          <w:rFonts w:ascii="Arial" w:hAnsi="Arial" w:cs="Arial"/>
          <w:szCs w:val="22"/>
          <w:lang w:val="el-GR"/>
        </w:rPr>
        <w:t xml:space="preserve">βοηθήσει τις οικονομίες μας </w:t>
      </w:r>
      <w:r w:rsidRPr="00E84F92">
        <w:rPr>
          <w:rFonts w:ascii="Arial" w:hAnsi="Arial" w:cs="Arial"/>
          <w:szCs w:val="22"/>
        </w:rPr>
        <w:t xml:space="preserve">να παραμείνουν ανθεκτικές </w:t>
      </w:r>
      <w:r w:rsidRPr="00E84F92">
        <w:rPr>
          <w:rFonts w:ascii="Arial" w:hAnsi="Arial" w:cs="Arial"/>
          <w:szCs w:val="22"/>
          <w:lang w:val="el-GR"/>
        </w:rPr>
        <w:t>κατά τη μετάβαση στη νέα κανονικότητα</w:t>
      </w:r>
      <w:r w:rsidRPr="00E84F92">
        <w:rPr>
          <w:rFonts w:ascii="Arial" w:hAnsi="Arial" w:cs="Arial"/>
          <w:szCs w:val="22"/>
        </w:rPr>
        <w:t>.</w:t>
      </w:r>
    </w:p>
    <w:p w14:paraId="261B893B" w14:textId="77777777" w:rsidR="00E84F92" w:rsidRPr="00E84F92" w:rsidRDefault="00E84F92" w:rsidP="00295959">
      <w:pPr>
        <w:jc w:val="both"/>
        <w:rPr>
          <w:b/>
          <w:color w:val="00205B"/>
          <w:sz w:val="32"/>
          <w:szCs w:val="32"/>
          <w:lang w:val="el"/>
        </w:rPr>
      </w:pPr>
    </w:p>
    <w:sectPr w:rsidR="00E84F92" w:rsidRPr="00E84F92"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247F" w14:textId="77777777" w:rsidR="00051379" w:rsidRDefault="00051379">
      <w:r>
        <w:separator/>
      </w:r>
    </w:p>
  </w:endnote>
  <w:endnote w:type="continuationSeparator" w:id="0">
    <w:p w14:paraId="1F544B92" w14:textId="77777777" w:rsidR="00051379" w:rsidRDefault="0005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3232" w14:textId="77777777" w:rsidR="00906441" w:rsidRDefault="00614A99" w:rsidP="006F37D0">
    <w:pPr>
      <w:tabs>
        <w:tab w:val="left" w:pos="2288"/>
      </w:tabs>
      <w:spacing w:line="360" w:lineRule="auto"/>
      <w:ind w:right="360"/>
      <w:rPr>
        <w:sz w:val="14"/>
        <w:lang w:val="el-GR"/>
      </w:rPr>
    </w:pPr>
    <w:r>
      <w:rPr>
        <w:sz w:val="20"/>
      </w:rPr>
      <w:tab/>
    </w:r>
  </w:p>
  <w:p w14:paraId="7B189256"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05914F4D" w14:textId="77777777" w:rsidTr="00F26854">
      <w:tc>
        <w:tcPr>
          <w:tcW w:w="4917" w:type="dxa"/>
          <w:tcBorders>
            <w:left w:val="single" w:sz="48" w:space="0" w:color="BC9E6E"/>
          </w:tcBorders>
          <w:shd w:val="clear" w:color="auto" w:fill="auto"/>
        </w:tcPr>
        <w:p w14:paraId="78B2D5D7"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7FC288D2"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6507D9E5" w14:textId="77777777" w:rsidR="00766A4F" w:rsidRDefault="00E84F92"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14:paraId="793F1EE6" w14:textId="50181841"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840889">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329BE642"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FD09" w14:textId="77777777" w:rsidR="00906441" w:rsidRDefault="00906441">
    <w:pPr>
      <w:pStyle w:val="Footer"/>
      <w:rPr>
        <w:sz w:val="20"/>
        <w:lang w:val="de-DE"/>
      </w:rPr>
    </w:pPr>
  </w:p>
  <w:p w14:paraId="79512A44"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6EF6" w14:textId="77777777" w:rsidR="00051379" w:rsidRDefault="00051379">
      <w:r>
        <w:separator/>
      </w:r>
    </w:p>
  </w:footnote>
  <w:footnote w:type="continuationSeparator" w:id="0">
    <w:p w14:paraId="67A6B3D5" w14:textId="77777777" w:rsidR="00051379" w:rsidRDefault="00051379">
      <w:r>
        <w:continuationSeparator/>
      </w:r>
    </w:p>
  </w:footnote>
  <w:footnote w:id="1">
    <w:p w14:paraId="337CC5FB"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w:t>
      </w:r>
      <w:r>
        <w:rPr>
          <w:lang w:val="el-GR"/>
        </w:rPr>
        <w:t xml:space="preserve">[Επίσης,] </w:t>
      </w:r>
      <w:r w:rsidRPr="00E84F92">
        <w:rPr>
          <w:lang w:val="el-GR"/>
        </w:rPr>
        <w:t xml:space="preserve">Τον Οκτώβριο του 2008 το Διοικητικό Συμβούλιο </w:t>
      </w:r>
      <w:r>
        <w:rPr>
          <w:lang w:val="el-GR"/>
        </w:rPr>
        <w:t xml:space="preserve">αποφάσισε ότι οι </w:t>
      </w:r>
      <w:r w:rsidRPr="00E84F92">
        <w:rPr>
          <w:lang w:val="el-GR"/>
        </w:rPr>
        <w:t xml:space="preserve">πράξεις ανοικτής αγοράς </w:t>
      </w:r>
      <w:r>
        <w:rPr>
          <w:lang w:val="el-GR"/>
        </w:rPr>
        <w:t>θα διεξάγονται με</w:t>
      </w:r>
      <w:r w:rsidRPr="00E84F92">
        <w:rPr>
          <w:lang w:val="el-GR"/>
        </w:rPr>
        <w:t xml:space="preserve"> διαδικασία δημοπρασίας σταθερού επιτοκίου </w:t>
      </w:r>
      <w:r>
        <w:rPr>
          <w:lang w:val="el-GR"/>
        </w:rPr>
        <w:t>και με κατανομή όλου του ζητούμενου ποσού</w:t>
      </w:r>
      <w:r w:rsidRPr="00E84F92">
        <w:rPr>
          <w:lang w:val="el-GR"/>
        </w:rPr>
        <w:t xml:space="preserve">. Επιπλέον, </w:t>
      </w:r>
      <w:r>
        <w:rPr>
          <w:lang w:val="el-GR"/>
        </w:rPr>
        <w:t xml:space="preserve">αυξήθηκε </w:t>
      </w:r>
      <w:r w:rsidRPr="00E84F92">
        <w:rPr>
          <w:lang w:val="el-GR"/>
        </w:rPr>
        <w:t>η διάρκεια των πράξεων αναχρηματοδότησης και διευρύνθηκε το φάσμα των αποδεκτών περιουσιακών στοιχείων που μπορούσαν να χρησιμοποιηθούν ως εξασφ</w:t>
      </w:r>
      <w:r>
        <w:rPr>
          <w:lang w:val="el-GR"/>
        </w:rPr>
        <w:t>αλίσεις</w:t>
      </w:r>
      <w:r w:rsidRPr="00E84F92">
        <w:rPr>
          <w:lang w:val="el-GR"/>
        </w:rPr>
        <w:t xml:space="preserve"> σ</w:t>
      </w:r>
      <w:r w:rsidRPr="00716EE0">
        <w:rPr>
          <w:lang w:val="el-GR"/>
        </w:rPr>
        <w:t>τις</w:t>
      </w:r>
      <w:r w:rsidRPr="00E84F92">
        <w:rPr>
          <w:lang w:val="el-GR"/>
        </w:rPr>
        <w:t xml:space="preserve"> πράξεις αναχρηματοδότησης.</w:t>
      </w:r>
    </w:p>
  </w:footnote>
  <w:footnote w:id="2">
    <w:p w14:paraId="54C40CF8" w14:textId="77777777" w:rsidR="00E84F92" w:rsidRPr="00B35A90" w:rsidRDefault="00E84F92" w:rsidP="00E84F92">
      <w:pPr>
        <w:pStyle w:val="FootnoteText"/>
        <w:rPr>
          <w:lang w:val="el-GR"/>
        </w:rPr>
      </w:pPr>
      <w:r>
        <w:rPr>
          <w:rStyle w:val="FootnoteReference"/>
        </w:rPr>
        <w:footnoteRef/>
      </w:r>
      <w:r w:rsidRPr="00E84F92">
        <w:rPr>
          <w:lang w:val="el-GR"/>
        </w:rPr>
        <w:t xml:space="preserve"> </w:t>
      </w:r>
      <w:r>
        <w:rPr>
          <w:lang w:val="el-GR"/>
        </w:rPr>
        <w:t>Διενεργήθηκαν</w:t>
      </w:r>
      <w:r w:rsidRPr="00E84F92">
        <w:rPr>
          <w:lang w:val="el-GR"/>
        </w:rPr>
        <w:t xml:space="preserve"> δύο </w:t>
      </w:r>
      <w:r>
        <w:rPr>
          <w:lang w:val="el-GR"/>
        </w:rPr>
        <w:t xml:space="preserve">πιο μακροπρόθεσμες </w:t>
      </w:r>
      <w:r w:rsidRPr="00E84F92">
        <w:rPr>
          <w:lang w:val="el-GR"/>
        </w:rPr>
        <w:t>πράξεις αναχρηματοδότησης διάρκειας τριών ετών (</w:t>
      </w:r>
      <w:r w:rsidRPr="00716EE0">
        <w:t>VLTRO</w:t>
      </w:r>
      <w:r w:rsidRPr="00E84F92">
        <w:rPr>
          <w:lang w:val="el-GR"/>
        </w:rPr>
        <w:t>) (Δεκέμβριος 2011 και Φεβρουάριος 2012).</w:t>
      </w:r>
    </w:p>
  </w:footnote>
  <w:footnote w:id="3">
    <w:p w14:paraId="00325752"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Οι πράξεις </w:t>
      </w:r>
      <w:r>
        <w:rPr>
          <w:lang w:val="en-US"/>
        </w:rPr>
        <w:t>TLTRO</w:t>
      </w:r>
      <w:r>
        <w:rPr>
          <w:lang w:val="el-GR"/>
        </w:rPr>
        <w:t>,</w:t>
      </w:r>
      <w:r w:rsidRPr="00E84F92">
        <w:rPr>
          <w:lang w:val="el-GR"/>
        </w:rPr>
        <w:t xml:space="preserve"> </w:t>
      </w:r>
      <w:r>
        <w:rPr>
          <w:lang w:val="el-GR"/>
        </w:rPr>
        <w:t xml:space="preserve">σύμφωνα με το σχεδιασμό τους, παρείχαν </w:t>
      </w:r>
      <w:r w:rsidRPr="00E84F92">
        <w:rPr>
          <w:lang w:val="el-GR"/>
        </w:rPr>
        <w:t xml:space="preserve">άφθονη ρευστότητα στις τράπεζες με πολύ ευνοϊκούς όρους, </w:t>
      </w:r>
      <w:r>
        <w:rPr>
          <w:lang w:val="el-GR"/>
        </w:rPr>
        <w:t xml:space="preserve">συναρτώμενους με την πιστοδοτική δραστηριότητα </w:t>
      </w:r>
      <w:r w:rsidRPr="00E84F92">
        <w:rPr>
          <w:lang w:val="el-GR"/>
        </w:rPr>
        <w:t xml:space="preserve">των τραπεζών. Η πρώτη σειρά </w:t>
      </w:r>
      <w:r>
        <w:rPr>
          <w:lang w:val="el-GR"/>
        </w:rPr>
        <w:t xml:space="preserve">ξεκίνησε </w:t>
      </w:r>
      <w:r w:rsidRPr="00E84F92">
        <w:rPr>
          <w:lang w:val="el-GR"/>
        </w:rPr>
        <w:t>τον Ιούνιο του 2014, η δεύτερη το Μάρτιο του 2016 και η τρίτη το Μάρτιο του 2019.</w:t>
      </w:r>
    </w:p>
  </w:footnote>
  <w:footnote w:id="4">
    <w:p w14:paraId="264C945F"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Η ΕΚΤ </w:t>
      </w:r>
      <w:r>
        <w:rPr>
          <w:lang w:val="el-GR"/>
        </w:rPr>
        <w:t xml:space="preserve">εφάρμοσε </w:t>
      </w:r>
      <w:r w:rsidRPr="00E84F92">
        <w:rPr>
          <w:color w:val="000000" w:themeColor="text1"/>
          <w:lang w:val="el-GR"/>
        </w:rPr>
        <w:t xml:space="preserve">(από το Μάιο του 2010 έως το Σεπτέμβριο του 2012) </w:t>
      </w:r>
      <w:r w:rsidRPr="00E84F92">
        <w:rPr>
          <w:lang w:val="el-GR"/>
        </w:rPr>
        <w:t>το Πρ</w:t>
      </w:r>
      <w:r>
        <w:rPr>
          <w:lang w:val="el-GR"/>
        </w:rPr>
        <w:t>όγραμμα</w:t>
      </w:r>
      <w:r w:rsidRPr="00E84F92">
        <w:rPr>
          <w:lang w:val="el-GR"/>
        </w:rPr>
        <w:t xml:space="preserve"> για τις Αγορές Τίτλων </w:t>
      </w:r>
      <w:r w:rsidRPr="00E84F92">
        <w:rPr>
          <w:color w:val="000000" w:themeColor="text1"/>
          <w:lang w:val="el-GR"/>
        </w:rPr>
        <w:t>(</w:t>
      </w:r>
      <w:r w:rsidRPr="00716EE0">
        <w:rPr>
          <w:color w:val="000000" w:themeColor="text1"/>
        </w:rPr>
        <w:t>SMP</w:t>
      </w:r>
      <w:r w:rsidRPr="00E84F92">
        <w:rPr>
          <w:color w:val="000000" w:themeColor="text1"/>
          <w:lang w:val="el-GR"/>
        </w:rPr>
        <w:t>)</w:t>
      </w:r>
      <w:r>
        <w:rPr>
          <w:color w:val="000000" w:themeColor="text1"/>
          <w:lang w:val="el-GR"/>
        </w:rPr>
        <w:t xml:space="preserve">, μέσω του οποίου αγόραζε </w:t>
      </w:r>
      <w:r w:rsidRPr="00E84F92">
        <w:rPr>
          <w:lang w:val="el-GR"/>
        </w:rPr>
        <w:t xml:space="preserve">κρατικά ομόλογα </w:t>
      </w:r>
      <w:r>
        <w:rPr>
          <w:lang w:val="el-GR"/>
        </w:rPr>
        <w:t>ορισμένων χωρών,</w:t>
      </w:r>
      <w:r w:rsidRPr="00E84F92">
        <w:rPr>
          <w:lang w:val="el-GR"/>
        </w:rPr>
        <w:t xml:space="preserve"> </w:t>
      </w:r>
      <w:r w:rsidRPr="00E84F92">
        <w:rPr>
          <w:color w:val="000000" w:themeColor="text1"/>
          <w:lang w:val="el-GR"/>
        </w:rPr>
        <w:t xml:space="preserve">και </w:t>
      </w:r>
      <w:r>
        <w:rPr>
          <w:color w:val="000000" w:themeColor="text1"/>
          <w:lang w:val="el-GR"/>
        </w:rPr>
        <w:t xml:space="preserve">ανακοίνωσε </w:t>
      </w:r>
      <w:r w:rsidRPr="00E84F92">
        <w:rPr>
          <w:color w:val="000000" w:themeColor="text1"/>
          <w:lang w:val="el-GR"/>
        </w:rPr>
        <w:t xml:space="preserve">(το Σεπτέμβριο του 2012) </w:t>
      </w:r>
      <w:r w:rsidRPr="00E84F92">
        <w:rPr>
          <w:lang w:val="el-GR"/>
        </w:rPr>
        <w:t xml:space="preserve">τη δυνατότητα </w:t>
      </w:r>
      <w:r>
        <w:rPr>
          <w:lang w:val="el-GR"/>
        </w:rPr>
        <w:t xml:space="preserve">διενέργειας </w:t>
      </w:r>
      <w:r w:rsidRPr="00E84F92">
        <w:rPr>
          <w:lang w:val="el-GR"/>
        </w:rPr>
        <w:t>οριστικών νομισματικών συναλλαγών (</w:t>
      </w:r>
      <w:r w:rsidRPr="00716EE0">
        <w:t>OMT</w:t>
      </w:r>
      <w:r w:rsidRPr="00E84F92">
        <w:rPr>
          <w:lang w:val="el-GR"/>
        </w:rPr>
        <w:t xml:space="preserve">), δηλαδή αγορών κρατικών ομολόγων </w:t>
      </w:r>
      <w:r>
        <w:rPr>
          <w:lang w:val="el-GR"/>
        </w:rPr>
        <w:t>υπό αυστηρές προϋποθέσεις</w:t>
      </w:r>
      <w:r w:rsidRPr="00E84F92">
        <w:rPr>
          <w:lang w:val="el-GR"/>
        </w:rPr>
        <w:t>.</w:t>
      </w:r>
    </w:p>
  </w:footnote>
  <w:footnote w:id="5">
    <w:p w14:paraId="62E4C119"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Το πρόγραμμα αγοράς περιουσιακών στοιχείων (</w:t>
      </w:r>
      <w:r w:rsidRPr="00716EE0">
        <w:t>APP</w:t>
      </w:r>
      <w:r w:rsidRPr="00E84F92">
        <w:rPr>
          <w:lang w:val="el-GR"/>
        </w:rPr>
        <w:t xml:space="preserve">) ξεκίνησε τον Οκτώβριο του 2014 και </w:t>
      </w:r>
      <w:r>
        <w:rPr>
          <w:lang w:val="el-GR"/>
        </w:rPr>
        <w:t xml:space="preserve">διευρύνθηκε </w:t>
      </w:r>
      <w:r w:rsidRPr="00E84F92">
        <w:rPr>
          <w:lang w:val="el-GR"/>
        </w:rPr>
        <w:t xml:space="preserve">σημαντικά </w:t>
      </w:r>
      <w:r>
        <w:rPr>
          <w:lang w:val="el-GR"/>
        </w:rPr>
        <w:t xml:space="preserve">με </w:t>
      </w:r>
      <w:r w:rsidRPr="00E84F92">
        <w:rPr>
          <w:lang w:val="el-GR"/>
        </w:rPr>
        <w:t xml:space="preserve">το πρόγραμμα αγοράς </w:t>
      </w:r>
      <w:r>
        <w:rPr>
          <w:lang w:val="el-GR"/>
        </w:rPr>
        <w:t>τίτλων</w:t>
      </w:r>
      <w:r w:rsidRPr="00E84F92">
        <w:rPr>
          <w:lang w:val="el-GR"/>
        </w:rPr>
        <w:t xml:space="preserve"> του δημόσιου τομέα (</w:t>
      </w:r>
      <w:r w:rsidRPr="00716EE0">
        <w:t>PSPP</w:t>
      </w:r>
      <w:r w:rsidRPr="00E84F92">
        <w:rPr>
          <w:lang w:val="el-GR"/>
        </w:rPr>
        <w:t>) το Μάρτιο του 2015.</w:t>
      </w:r>
    </w:p>
  </w:footnote>
  <w:footnote w:id="6">
    <w:p w14:paraId="7CD0DA55" w14:textId="77777777" w:rsidR="00E84F92" w:rsidRPr="00E84F92" w:rsidRDefault="00E84F92" w:rsidP="00E84F92">
      <w:pPr>
        <w:pStyle w:val="FootnoteText"/>
        <w:jc w:val="both"/>
        <w:rPr>
          <w:lang w:val="el-GR"/>
        </w:rPr>
      </w:pPr>
      <w:r w:rsidRPr="00E04A3D">
        <w:rPr>
          <w:rStyle w:val="FootnoteReference"/>
        </w:rPr>
        <w:footnoteRef/>
      </w:r>
      <w:r>
        <w:rPr>
          <w:lang w:val="el-GR"/>
        </w:rPr>
        <w:t xml:space="preserve"> </w:t>
      </w:r>
      <w:r w:rsidRPr="00E84F92">
        <w:rPr>
          <w:lang w:val="el-GR"/>
        </w:rPr>
        <w:t xml:space="preserve">Με την </w:t>
      </w:r>
      <w:r w:rsidRPr="00162FB8">
        <w:rPr>
          <w:lang w:val="el-GR"/>
        </w:rPr>
        <w:t>εισαγωγή</w:t>
      </w:r>
      <w:r w:rsidRPr="00E84F92">
        <w:rPr>
          <w:lang w:val="el-GR"/>
        </w:rPr>
        <w:t xml:space="preserve"> του έκτακτου προγράμματος αγορ</w:t>
      </w:r>
      <w:r w:rsidRPr="00162FB8">
        <w:rPr>
          <w:lang w:val="el-GR"/>
        </w:rPr>
        <w:t>άς</w:t>
      </w:r>
      <w:r w:rsidRPr="00E84F92">
        <w:rPr>
          <w:lang w:val="el-GR"/>
        </w:rPr>
        <w:t xml:space="preserve"> </w:t>
      </w:r>
      <w:r w:rsidRPr="00162FB8">
        <w:rPr>
          <w:lang w:val="el-GR"/>
        </w:rPr>
        <w:t xml:space="preserve">στοιχείων ενεργητικού </w:t>
      </w:r>
      <w:r w:rsidRPr="00E84F92">
        <w:rPr>
          <w:lang w:val="el-GR"/>
        </w:rPr>
        <w:t>λόγω πανδημίας (</w:t>
      </w:r>
      <w:r w:rsidRPr="00162FB8">
        <w:t>PEPP</w:t>
      </w:r>
      <w:r w:rsidRPr="00E84F92">
        <w:rPr>
          <w:lang w:val="el-GR"/>
        </w:rPr>
        <w:t xml:space="preserve">) το Μάρτιο του 2020 και τη χαλάρωση των </w:t>
      </w:r>
      <w:r w:rsidRPr="00162FB8">
        <w:rPr>
          <w:lang w:val="el-GR"/>
        </w:rPr>
        <w:t xml:space="preserve">κριτηρίων επιλεξιμότητας των εξασφαλίσεων </w:t>
      </w:r>
      <w:r w:rsidRPr="00E84F92">
        <w:rPr>
          <w:lang w:val="el-GR"/>
        </w:rPr>
        <w:t xml:space="preserve">και των όρων των </w:t>
      </w:r>
      <w:r w:rsidRPr="00162FB8">
        <w:rPr>
          <w:lang w:val="en-US"/>
        </w:rPr>
        <w:t>TLTRO</w:t>
      </w:r>
      <w:r>
        <w:rPr>
          <w:lang w:val="el-GR"/>
        </w:rPr>
        <w:t xml:space="preserve"> </w:t>
      </w:r>
      <w:r w:rsidRPr="00716EE0">
        <w:t>III</w:t>
      </w:r>
      <w:r w:rsidRPr="00E84F92">
        <w:rPr>
          <w:lang w:val="el-GR"/>
        </w:rPr>
        <w:t xml:space="preserve">, </w:t>
      </w:r>
      <w:r>
        <w:rPr>
          <w:lang w:val="el-GR"/>
        </w:rPr>
        <w:t xml:space="preserve">μέτρα που έδωσαν κίνητρα στις </w:t>
      </w:r>
      <w:r w:rsidRPr="00E84F92">
        <w:rPr>
          <w:lang w:val="el-GR"/>
        </w:rPr>
        <w:t xml:space="preserve">τράπεζες να </w:t>
      </w:r>
      <w:r>
        <w:rPr>
          <w:lang w:val="el-GR"/>
        </w:rPr>
        <w:t xml:space="preserve">στηρίξουν με </w:t>
      </w:r>
      <w:r w:rsidRPr="00E84F92">
        <w:rPr>
          <w:lang w:val="el-GR"/>
        </w:rPr>
        <w:t xml:space="preserve">πιστώσεις </w:t>
      </w:r>
      <w:r>
        <w:rPr>
          <w:lang w:val="el-GR"/>
        </w:rPr>
        <w:t>αυτούς</w:t>
      </w:r>
      <w:r w:rsidRPr="00E04A3D">
        <w:rPr>
          <w:lang w:val="el-GR"/>
        </w:rPr>
        <w:t xml:space="preserve"> </w:t>
      </w:r>
      <w:r>
        <w:rPr>
          <w:lang w:val="el-GR"/>
        </w:rPr>
        <w:t xml:space="preserve">που </w:t>
      </w:r>
      <w:r w:rsidRPr="00E84F92">
        <w:rPr>
          <w:lang w:val="el-GR"/>
        </w:rPr>
        <w:t>επλήγησαν περισσότερο από την πανδημία.</w:t>
      </w:r>
    </w:p>
  </w:footnote>
  <w:footnote w:id="7">
    <w:p w14:paraId="7354F18D"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Σύμφωνα με το </w:t>
      </w:r>
      <w:r>
        <w:rPr>
          <w:lang w:val="el-GR"/>
        </w:rPr>
        <w:t xml:space="preserve">άρθρο </w:t>
      </w:r>
      <w:r w:rsidRPr="00EF5B44">
        <w:rPr>
          <w:lang w:val="el-GR"/>
        </w:rPr>
        <w:t>“</w:t>
      </w:r>
      <w:r>
        <w:rPr>
          <w:lang w:val="en-US"/>
        </w:rPr>
        <w:t>Negative</w:t>
      </w:r>
      <w:r w:rsidRPr="00EF5B44">
        <w:rPr>
          <w:lang w:val="el-GR"/>
        </w:rPr>
        <w:t xml:space="preserve"> </w:t>
      </w:r>
      <w:r>
        <w:rPr>
          <w:lang w:val="en-US"/>
        </w:rPr>
        <w:t>rates</w:t>
      </w:r>
      <w:r w:rsidRPr="00EF5B44">
        <w:rPr>
          <w:lang w:val="el-GR"/>
        </w:rPr>
        <w:t xml:space="preserve"> </w:t>
      </w:r>
      <w:r>
        <w:rPr>
          <w:lang w:val="en-US"/>
        </w:rPr>
        <w:t>and</w:t>
      </w:r>
      <w:r w:rsidRPr="00EF5B44">
        <w:rPr>
          <w:lang w:val="el-GR"/>
        </w:rPr>
        <w:t xml:space="preserve"> </w:t>
      </w:r>
      <w:r w:rsidRPr="00BD5602">
        <w:rPr>
          <w:lang w:val="en-US"/>
        </w:rPr>
        <w:t>the</w:t>
      </w:r>
      <w:r w:rsidRPr="00EF5B44">
        <w:rPr>
          <w:lang w:val="el-GR"/>
        </w:rPr>
        <w:t xml:space="preserve"> </w:t>
      </w:r>
      <w:r>
        <w:rPr>
          <w:lang w:val="en-US"/>
        </w:rPr>
        <w:t>transmission</w:t>
      </w:r>
      <w:r w:rsidRPr="00EF5B44">
        <w:rPr>
          <w:lang w:val="el-GR"/>
        </w:rPr>
        <w:t xml:space="preserve"> </w:t>
      </w:r>
      <w:r>
        <w:rPr>
          <w:lang w:val="en-US"/>
        </w:rPr>
        <w:t>of</w:t>
      </w:r>
      <w:r w:rsidRPr="00EF5B44">
        <w:rPr>
          <w:lang w:val="el-GR"/>
        </w:rPr>
        <w:t xml:space="preserve"> </w:t>
      </w:r>
      <w:r>
        <w:rPr>
          <w:lang w:val="en-US"/>
        </w:rPr>
        <w:t>monetary</w:t>
      </w:r>
      <w:r w:rsidRPr="00EF5B44">
        <w:rPr>
          <w:lang w:val="el-GR"/>
        </w:rPr>
        <w:t xml:space="preserve"> </w:t>
      </w:r>
      <w:r>
        <w:rPr>
          <w:lang w:val="en-US"/>
        </w:rPr>
        <w:t>policy</w:t>
      </w:r>
      <w:r w:rsidRPr="00EF5B44">
        <w:rPr>
          <w:lang w:val="el-GR"/>
        </w:rPr>
        <w:t>”</w:t>
      </w:r>
      <w:r>
        <w:rPr>
          <w:lang w:val="el-GR"/>
        </w:rPr>
        <w:t xml:space="preserve">, </w:t>
      </w:r>
      <w:r>
        <w:rPr>
          <w:lang w:val="en-US"/>
        </w:rPr>
        <w:t>ECB</w:t>
      </w:r>
      <w:r>
        <w:rPr>
          <w:lang w:val="el-GR"/>
        </w:rPr>
        <w:t>,</w:t>
      </w:r>
      <w:r w:rsidRPr="00EF5B44">
        <w:rPr>
          <w:lang w:val="el-GR"/>
        </w:rPr>
        <w:t xml:space="preserve"> </w:t>
      </w:r>
      <w:r w:rsidRPr="00BD5602">
        <w:rPr>
          <w:i/>
          <w:lang w:val="en-US"/>
        </w:rPr>
        <w:t>Economic</w:t>
      </w:r>
      <w:r w:rsidRPr="00EF5B44">
        <w:rPr>
          <w:lang w:val="el-GR"/>
        </w:rPr>
        <w:t xml:space="preserve"> </w:t>
      </w:r>
      <w:r w:rsidRPr="00EF5B44">
        <w:rPr>
          <w:i/>
          <w:lang w:val="en-US"/>
        </w:rPr>
        <w:t>Bulletin</w:t>
      </w:r>
      <w:r w:rsidRPr="00EF5B44">
        <w:rPr>
          <w:lang w:val="el-GR"/>
        </w:rPr>
        <w:t xml:space="preserve">, </w:t>
      </w:r>
      <w:r>
        <w:rPr>
          <w:lang w:val="el-GR"/>
        </w:rPr>
        <w:t>3</w:t>
      </w:r>
      <w:r w:rsidRPr="00EF5B44">
        <w:rPr>
          <w:lang w:val="el-GR"/>
        </w:rPr>
        <w:t>/2</w:t>
      </w:r>
      <w:r w:rsidRPr="00E84F92">
        <w:rPr>
          <w:lang w:val="el-GR"/>
        </w:rPr>
        <w:t xml:space="preserve">020, εμπειρικές μελέτες </w:t>
      </w:r>
      <w:r>
        <w:rPr>
          <w:lang w:val="el-GR"/>
        </w:rPr>
        <w:t xml:space="preserve">διαπιστώνουν </w:t>
      </w:r>
      <w:r w:rsidRPr="00E84F92">
        <w:rPr>
          <w:lang w:val="el-GR"/>
        </w:rPr>
        <w:t xml:space="preserve">θετική επίδραση στην αύξηση των δανείων </w:t>
      </w:r>
      <w:r>
        <w:rPr>
          <w:lang w:val="el-GR"/>
        </w:rPr>
        <w:t xml:space="preserve">κατά </w:t>
      </w:r>
      <w:r w:rsidRPr="00E84F92">
        <w:rPr>
          <w:lang w:val="el-GR"/>
        </w:rPr>
        <w:t>περίπου 0</w:t>
      </w:r>
      <w:r>
        <w:rPr>
          <w:lang w:val="el-GR"/>
        </w:rPr>
        <w:t>,</w:t>
      </w:r>
      <w:r w:rsidRPr="00E84F92">
        <w:rPr>
          <w:lang w:val="el-GR"/>
        </w:rPr>
        <w:t xml:space="preserve">7 </w:t>
      </w:r>
      <w:r>
        <w:rPr>
          <w:lang w:val="el-GR"/>
        </w:rPr>
        <w:t xml:space="preserve">ποσ. μον. </w:t>
      </w:r>
      <w:r w:rsidRPr="00E84F92">
        <w:rPr>
          <w:lang w:val="el-GR"/>
        </w:rPr>
        <w:t>ετησίως, η οποία αποδίδεται στην πολιτική αρνητικ</w:t>
      </w:r>
      <w:r>
        <w:rPr>
          <w:lang w:val="el-GR"/>
        </w:rPr>
        <w:t>ών</w:t>
      </w:r>
      <w:r w:rsidRPr="00E84F92">
        <w:rPr>
          <w:lang w:val="el-GR"/>
        </w:rPr>
        <w:t xml:space="preserve"> επιτοκίων.</w:t>
      </w:r>
    </w:p>
  </w:footnote>
  <w:footnote w:id="8">
    <w:p w14:paraId="1CC3A609"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w:t>
      </w:r>
      <w:hyperlink r:id="rId1" w:history="1">
        <w:r w:rsidRPr="00716EE0">
          <w:rPr>
            <w:rStyle w:val="Hyperlink"/>
          </w:rPr>
          <w:t>https</w:t>
        </w:r>
        <w:r w:rsidRPr="00E84F92">
          <w:rPr>
            <w:rStyle w:val="Hyperlink"/>
            <w:lang w:val="el-GR"/>
          </w:rPr>
          <w:t>://</w:t>
        </w:r>
        <w:r w:rsidRPr="00716EE0">
          <w:rPr>
            <w:rStyle w:val="Hyperlink"/>
          </w:rPr>
          <w:t>twitter</w:t>
        </w:r>
        <w:r w:rsidRPr="00E84F92">
          <w:rPr>
            <w:rStyle w:val="Hyperlink"/>
            <w:lang w:val="el-GR"/>
          </w:rPr>
          <w:t>.</w:t>
        </w:r>
        <w:r w:rsidRPr="00716EE0">
          <w:rPr>
            <w:rStyle w:val="Hyperlink"/>
          </w:rPr>
          <w:t>com</w:t>
        </w:r>
        <w:r w:rsidRPr="00E84F92">
          <w:rPr>
            <w:rStyle w:val="Hyperlink"/>
            <w:lang w:val="el-GR"/>
          </w:rPr>
          <w:t>/</w:t>
        </w:r>
        <w:r w:rsidRPr="00716EE0">
          <w:rPr>
            <w:rStyle w:val="Hyperlink"/>
          </w:rPr>
          <w:t>ecb</w:t>
        </w:r>
        <w:r w:rsidRPr="00E84F92">
          <w:rPr>
            <w:rStyle w:val="Hyperlink"/>
            <w:lang w:val="el-GR"/>
          </w:rPr>
          <w:t>/</w:t>
        </w:r>
        <w:r w:rsidRPr="00716EE0">
          <w:rPr>
            <w:rStyle w:val="Hyperlink"/>
          </w:rPr>
          <w:t>status</w:t>
        </w:r>
        <w:r w:rsidRPr="00E84F92">
          <w:rPr>
            <w:rStyle w:val="Hyperlink"/>
            <w:lang w:val="el-GR"/>
          </w:rPr>
          <w:t>/707936983239299073</w:t>
        </w:r>
      </w:hyperlink>
      <w:r w:rsidRPr="00E84F92">
        <w:rPr>
          <w:lang w:val="el-GR"/>
        </w:rPr>
        <w:t xml:space="preserve"> </w:t>
      </w:r>
    </w:p>
  </w:footnote>
  <w:footnote w:id="9">
    <w:p w14:paraId="18C56BD5" w14:textId="77777777" w:rsidR="00E84F92" w:rsidRPr="00BD5602" w:rsidRDefault="00E84F92" w:rsidP="00E84F92">
      <w:pPr>
        <w:pStyle w:val="FootnoteText"/>
        <w:jc w:val="both"/>
        <w:rPr>
          <w:lang w:val="en-US"/>
        </w:rPr>
      </w:pPr>
      <w:r w:rsidRPr="00716EE0">
        <w:rPr>
          <w:rStyle w:val="FootnoteReference"/>
        </w:rPr>
        <w:footnoteRef/>
      </w:r>
      <w:r w:rsidRPr="00E806F9">
        <w:rPr>
          <w:lang w:val="en-US"/>
        </w:rPr>
        <w:t xml:space="preserve"> </w:t>
      </w:r>
      <w:r w:rsidRPr="00716EE0">
        <w:t>Βλ</w:t>
      </w:r>
      <w:r w:rsidRPr="00BD5602">
        <w:rPr>
          <w:lang w:val="en-US"/>
        </w:rPr>
        <w:t xml:space="preserve">. </w:t>
      </w:r>
      <w:r w:rsidRPr="00716EE0">
        <w:t>ομιλία</w:t>
      </w:r>
      <w:r w:rsidRPr="00BD5602">
        <w:rPr>
          <w:lang w:val="en-US"/>
        </w:rPr>
        <w:t xml:space="preserve"> </w:t>
      </w:r>
      <w:r w:rsidRPr="00716EE0">
        <w:t>του</w:t>
      </w:r>
      <w:r w:rsidRPr="00BD5602">
        <w:rPr>
          <w:lang w:val="en-US"/>
        </w:rPr>
        <w:t xml:space="preserve"> Philip Lane </w:t>
      </w:r>
      <w:r>
        <w:t>με</w:t>
      </w:r>
      <w:r w:rsidRPr="00BD5602">
        <w:rPr>
          <w:lang w:val="en-US"/>
        </w:rPr>
        <w:t xml:space="preserve"> </w:t>
      </w:r>
      <w:r>
        <w:rPr>
          <w:lang w:val="el-GR"/>
        </w:rPr>
        <w:t>θέμα</w:t>
      </w:r>
      <w:r w:rsidRPr="00BD5602">
        <w:rPr>
          <w:lang w:val="en-US"/>
        </w:rPr>
        <w:t xml:space="preserve"> “The monetary policy toolbox: </w:t>
      </w:r>
      <w:r>
        <w:rPr>
          <w:lang w:val="en-US"/>
        </w:rPr>
        <w:t>evidence</w:t>
      </w:r>
      <w:r w:rsidRPr="00BD5602">
        <w:rPr>
          <w:lang w:val="en-US"/>
        </w:rPr>
        <w:t xml:space="preserve"> </w:t>
      </w:r>
      <w:r>
        <w:rPr>
          <w:lang w:val="en-US"/>
        </w:rPr>
        <w:t>from</w:t>
      </w:r>
      <w:r w:rsidRPr="00BD5602">
        <w:rPr>
          <w:lang w:val="en-US"/>
        </w:rPr>
        <w:t xml:space="preserve"> </w:t>
      </w:r>
      <w:r>
        <w:rPr>
          <w:lang w:val="en-US"/>
        </w:rPr>
        <w:t>the</w:t>
      </w:r>
      <w:r w:rsidRPr="00BD5602">
        <w:rPr>
          <w:lang w:val="en-US"/>
        </w:rPr>
        <w:t xml:space="preserve"> </w:t>
      </w:r>
      <w:r>
        <w:rPr>
          <w:lang w:val="en-US"/>
        </w:rPr>
        <w:t>euro</w:t>
      </w:r>
      <w:r w:rsidRPr="00BD5602">
        <w:rPr>
          <w:lang w:val="en-US"/>
        </w:rPr>
        <w:t xml:space="preserve"> </w:t>
      </w:r>
      <w:r>
        <w:rPr>
          <w:lang w:val="en-US"/>
        </w:rPr>
        <w:t>area</w:t>
      </w:r>
      <w:r w:rsidRPr="00BD5602">
        <w:rPr>
          <w:lang w:val="en-US"/>
        </w:rPr>
        <w:t>”, 2020 US Monetary Policy Forum, 21.2.2020.</w:t>
      </w:r>
    </w:p>
  </w:footnote>
  <w:footnote w:id="10">
    <w:p w14:paraId="68C68592" w14:textId="77777777" w:rsidR="00E84F92" w:rsidRPr="00E84F92" w:rsidRDefault="00E84F92" w:rsidP="00E84F92">
      <w:pPr>
        <w:pStyle w:val="FootnoteText"/>
        <w:jc w:val="both"/>
        <w:rPr>
          <w:lang w:val="el-GR"/>
        </w:rPr>
      </w:pPr>
      <w:r w:rsidRPr="00716EE0">
        <w:rPr>
          <w:rStyle w:val="FootnoteReference"/>
        </w:rPr>
        <w:footnoteRef/>
      </w:r>
      <w:r w:rsidRPr="00E84F92">
        <w:rPr>
          <w:lang w:val="el-GR"/>
        </w:rPr>
        <w:t xml:space="preserve"> </w:t>
      </w:r>
      <w:r>
        <w:rPr>
          <w:lang w:val="el-GR"/>
        </w:rPr>
        <w:t xml:space="preserve">Με την έννοια ότι </w:t>
      </w:r>
      <w:r w:rsidRPr="00E84F92">
        <w:rPr>
          <w:lang w:val="el-GR"/>
        </w:rPr>
        <w:t>οι τράπεζες είναι συνήθως απρόθυμες να μετα</w:t>
      </w:r>
      <w:r w:rsidRPr="00716EE0">
        <w:rPr>
          <w:lang w:val="el-GR"/>
        </w:rPr>
        <w:t>κυλίσουν τα α</w:t>
      </w:r>
      <w:r w:rsidRPr="00E84F92">
        <w:rPr>
          <w:lang w:val="el-GR"/>
        </w:rPr>
        <w:t>ρνητικά επιτόκια στους καταθέτες τους, ιδίως στα νοικοκυριά.</w:t>
      </w:r>
    </w:p>
  </w:footnote>
  <w:footnote w:id="11">
    <w:p w14:paraId="22FF1EE9" w14:textId="77777777" w:rsidR="00E84F92" w:rsidRPr="00EA6D0E" w:rsidRDefault="00E84F92" w:rsidP="00E84F92">
      <w:pPr>
        <w:pStyle w:val="FootnoteText"/>
        <w:rPr>
          <w:lang w:val="en-US"/>
        </w:rPr>
      </w:pPr>
      <w:r>
        <w:rPr>
          <w:rStyle w:val="FootnoteReference"/>
        </w:rPr>
        <w:footnoteRef/>
      </w:r>
      <w:r w:rsidRPr="00EA6D0E">
        <w:rPr>
          <w:lang w:val="en-US"/>
        </w:rPr>
        <w:t xml:space="preserve"> Βλ. Monetary dialogue with Christine Lagarde, Committee on Economic and Monetary Affairs, 19.11.2020</w:t>
      </w:r>
      <w:r w:rsidRPr="00EA6D0E">
        <w:rPr>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451"/>
    <w:multiLevelType w:val="hybridMultilevel"/>
    <w:tmpl w:val="990CD738"/>
    <w:lvl w:ilvl="0" w:tplc="040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F805D2"/>
    <w:multiLevelType w:val="hybridMultilevel"/>
    <w:tmpl w:val="0900B9F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33BE449F"/>
    <w:multiLevelType w:val="hybridMultilevel"/>
    <w:tmpl w:val="8960C992"/>
    <w:lvl w:ilvl="0" w:tplc="79EE0CA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446A21"/>
    <w:multiLevelType w:val="hybridMultilevel"/>
    <w:tmpl w:val="33A22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41789C"/>
    <w:multiLevelType w:val="hybridMultilevel"/>
    <w:tmpl w:val="BC3CB910"/>
    <w:lvl w:ilvl="0" w:tplc="5B9A980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354938"/>
    <w:multiLevelType w:val="hybridMultilevel"/>
    <w:tmpl w:val="665E98B0"/>
    <w:lvl w:ilvl="0" w:tplc="04080001">
      <w:start w:val="1"/>
      <w:numFmt w:val="bullet"/>
      <w:lvlText w:val=""/>
      <w:lvlJc w:val="left"/>
      <w:pPr>
        <w:ind w:left="1080" w:hanging="360"/>
      </w:pPr>
      <w:rPr>
        <w:rFonts w:ascii="Symbol" w:hAnsi="Symbol" w:hint="default"/>
      </w:rPr>
    </w:lvl>
    <w:lvl w:ilvl="1" w:tplc="04A47F4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284A52"/>
    <w:multiLevelType w:val="hybridMultilevel"/>
    <w:tmpl w:val="EBD61658"/>
    <w:lvl w:ilvl="0" w:tplc="04090001">
      <w:start w:val="1"/>
      <w:numFmt w:val="bullet"/>
      <w:lvlText w:val=""/>
      <w:lvlJc w:val="left"/>
      <w:pPr>
        <w:ind w:left="360" w:hanging="360"/>
      </w:pPr>
      <w:rPr>
        <w:rFonts w:ascii="Symbol" w:hAnsi="Symbol" w:hint="default"/>
      </w:rPr>
    </w:lvl>
    <w:lvl w:ilvl="1" w:tplc="79EE0CA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B65083"/>
    <w:multiLevelType w:val="hybridMultilevel"/>
    <w:tmpl w:val="3B5A5D96"/>
    <w:lvl w:ilvl="0" w:tplc="80DE4936">
      <w:start w:val="1"/>
      <w:numFmt w:val="upperLetter"/>
      <w:lvlText w:val="%1."/>
      <w:lvlJc w:val="left"/>
      <w:pPr>
        <w:ind w:left="700" w:hanging="360"/>
      </w:pPr>
      <w:rPr>
        <w:rFonts w:hint="default"/>
      </w:rPr>
    </w:lvl>
    <w:lvl w:ilvl="1" w:tplc="04080019">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num w:numId="1">
    <w:abstractNumId w:val="5"/>
  </w:num>
  <w:num w:numId="2">
    <w:abstractNumId w:val="10"/>
  </w:num>
  <w:num w:numId="3">
    <w:abstractNumId w:val="7"/>
  </w:num>
  <w:num w:numId="4">
    <w:abstractNumId w:val="2"/>
  </w:num>
  <w:num w:numId="5">
    <w:abstractNumId w:val="11"/>
  </w:num>
  <w:num w:numId="6">
    <w:abstractNumId w:val="4"/>
  </w:num>
  <w:num w:numId="7">
    <w:abstractNumId w:val="1"/>
  </w:num>
  <w:num w:numId="8">
    <w:abstractNumId w:val="6"/>
  </w:num>
  <w:num w:numId="9">
    <w:abstractNumId w:val="8"/>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72CF"/>
    <w:rsid w:val="00037147"/>
    <w:rsid w:val="00044C8F"/>
    <w:rsid w:val="00045338"/>
    <w:rsid w:val="00051379"/>
    <w:rsid w:val="00073219"/>
    <w:rsid w:val="00097A7B"/>
    <w:rsid w:val="000A288F"/>
    <w:rsid w:val="000A304A"/>
    <w:rsid w:val="000A4140"/>
    <w:rsid w:val="000A5141"/>
    <w:rsid w:val="000A6028"/>
    <w:rsid w:val="000B344B"/>
    <w:rsid w:val="000C32E3"/>
    <w:rsid w:val="000C46DD"/>
    <w:rsid w:val="000C5182"/>
    <w:rsid w:val="000D0221"/>
    <w:rsid w:val="000D1A19"/>
    <w:rsid w:val="000D5526"/>
    <w:rsid w:val="000E73F6"/>
    <w:rsid w:val="000F6F0A"/>
    <w:rsid w:val="000F7419"/>
    <w:rsid w:val="0010083B"/>
    <w:rsid w:val="00172CBA"/>
    <w:rsid w:val="00180F26"/>
    <w:rsid w:val="00183895"/>
    <w:rsid w:val="00184CB0"/>
    <w:rsid w:val="00185971"/>
    <w:rsid w:val="0019445C"/>
    <w:rsid w:val="0019776D"/>
    <w:rsid w:val="001A04FD"/>
    <w:rsid w:val="001A37A9"/>
    <w:rsid w:val="001A4D11"/>
    <w:rsid w:val="001A759A"/>
    <w:rsid w:val="001C1BDE"/>
    <w:rsid w:val="001E3BEA"/>
    <w:rsid w:val="001E6951"/>
    <w:rsid w:val="001F0CF2"/>
    <w:rsid w:val="001F260A"/>
    <w:rsid w:val="00201E7D"/>
    <w:rsid w:val="00202559"/>
    <w:rsid w:val="00202FDB"/>
    <w:rsid w:val="00207C8D"/>
    <w:rsid w:val="002101EB"/>
    <w:rsid w:val="00227116"/>
    <w:rsid w:val="002435A1"/>
    <w:rsid w:val="00246066"/>
    <w:rsid w:val="00260190"/>
    <w:rsid w:val="002616EC"/>
    <w:rsid w:val="00267430"/>
    <w:rsid w:val="00270D07"/>
    <w:rsid w:val="00295959"/>
    <w:rsid w:val="00297799"/>
    <w:rsid w:val="002A2D24"/>
    <w:rsid w:val="002A3590"/>
    <w:rsid w:val="002B5FB8"/>
    <w:rsid w:val="002C168A"/>
    <w:rsid w:val="002C7892"/>
    <w:rsid w:val="002D3F97"/>
    <w:rsid w:val="002E7EF8"/>
    <w:rsid w:val="002F3B11"/>
    <w:rsid w:val="00302264"/>
    <w:rsid w:val="00313191"/>
    <w:rsid w:val="00320888"/>
    <w:rsid w:val="00321C7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479D"/>
    <w:rsid w:val="00397328"/>
    <w:rsid w:val="003A245D"/>
    <w:rsid w:val="003A4A4F"/>
    <w:rsid w:val="003A6B99"/>
    <w:rsid w:val="003B3773"/>
    <w:rsid w:val="003C3284"/>
    <w:rsid w:val="003C3AA5"/>
    <w:rsid w:val="003E11F9"/>
    <w:rsid w:val="00406D19"/>
    <w:rsid w:val="00412FA2"/>
    <w:rsid w:val="00414884"/>
    <w:rsid w:val="00417ED3"/>
    <w:rsid w:val="00422D68"/>
    <w:rsid w:val="004341F8"/>
    <w:rsid w:val="0043621F"/>
    <w:rsid w:val="00436E09"/>
    <w:rsid w:val="00441F60"/>
    <w:rsid w:val="00443B6C"/>
    <w:rsid w:val="00443FA1"/>
    <w:rsid w:val="00453C47"/>
    <w:rsid w:val="0046071D"/>
    <w:rsid w:val="00463F9F"/>
    <w:rsid w:val="00464C3A"/>
    <w:rsid w:val="00466134"/>
    <w:rsid w:val="00483018"/>
    <w:rsid w:val="00491524"/>
    <w:rsid w:val="00497CD2"/>
    <w:rsid w:val="004A549E"/>
    <w:rsid w:val="004A59BA"/>
    <w:rsid w:val="004B79B4"/>
    <w:rsid w:val="004C30E9"/>
    <w:rsid w:val="004C6096"/>
    <w:rsid w:val="004D63E0"/>
    <w:rsid w:val="004D7D32"/>
    <w:rsid w:val="004F52A9"/>
    <w:rsid w:val="00514108"/>
    <w:rsid w:val="00515766"/>
    <w:rsid w:val="00530DAA"/>
    <w:rsid w:val="00533BA6"/>
    <w:rsid w:val="0054190C"/>
    <w:rsid w:val="00542108"/>
    <w:rsid w:val="00553F6C"/>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E3AFF"/>
    <w:rsid w:val="005F2746"/>
    <w:rsid w:val="005F43AD"/>
    <w:rsid w:val="005F5BF4"/>
    <w:rsid w:val="00604D0C"/>
    <w:rsid w:val="00606096"/>
    <w:rsid w:val="00606E2F"/>
    <w:rsid w:val="0061442F"/>
    <w:rsid w:val="00614A99"/>
    <w:rsid w:val="00617823"/>
    <w:rsid w:val="00624F7E"/>
    <w:rsid w:val="00627512"/>
    <w:rsid w:val="00627DC6"/>
    <w:rsid w:val="0064172A"/>
    <w:rsid w:val="006418EF"/>
    <w:rsid w:val="006542A4"/>
    <w:rsid w:val="00656C46"/>
    <w:rsid w:val="00660201"/>
    <w:rsid w:val="00674A42"/>
    <w:rsid w:val="00677754"/>
    <w:rsid w:val="006803BB"/>
    <w:rsid w:val="0068377E"/>
    <w:rsid w:val="0068536A"/>
    <w:rsid w:val="006901E8"/>
    <w:rsid w:val="006932B9"/>
    <w:rsid w:val="0069557D"/>
    <w:rsid w:val="006A2DD2"/>
    <w:rsid w:val="006A5CC1"/>
    <w:rsid w:val="006B5E1E"/>
    <w:rsid w:val="006D07A5"/>
    <w:rsid w:val="006D2AC6"/>
    <w:rsid w:val="006D3D1E"/>
    <w:rsid w:val="006E4337"/>
    <w:rsid w:val="006F37D0"/>
    <w:rsid w:val="007022F3"/>
    <w:rsid w:val="00714EDE"/>
    <w:rsid w:val="0072404C"/>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A3DD2"/>
    <w:rsid w:val="007C0704"/>
    <w:rsid w:val="007C4A55"/>
    <w:rsid w:val="007C6FC4"/>
    <w:rsid w:val="007C7957"/>
    <w:rsid w:val="007D4426"/>
    <w:rsid w:val="008116CE"/>
    <w:rsid w:val="00816456"/>
    <w:rsid w:val="00817F3B"/>
    <w:rsid w:val="00822A19"/>
    <w:rsid w:val="00824A41"/>
    <w:rsid w:val="00832116"/>
    <w:rsid w:val="00832919"/>
    <w:rsid w:val="00837AC2"/>
    <w:rsid w:val="00840889"/>
    <w:rsid w:val="00845FB3"/>
    <w:rsid w:val="00853EC0"/>
    <w:rsid w:val="00855C86"/>
    <w:rsid w:val="0085688E"/>
    <w:rsid w:val="00860184"/>
    <w:rsid w:val="00863881"/>
    <w:rsid w:val="00864DCC"/>
    <w:rsid w:val="00873049"/>
    <w:rsid w:val="00894070"/>
    <w:rsid w:val="008A443F"/>
    <w:rsid w:val="008B0419"/>
    <w:rsid w:val="008B09DB"/>
    <w:rsid w:val="008B3C40"/>
    <w:rsid w:val="008B5AA3"/>
    <w:rsid w:val="008B61C2"/>
    <w:rsid w:val="008D28E5"/>
    <w:rsid w:val="008E31A9"/>
    <w:rsid w:val="008E7AC5"/>
    <w:rsid w:val="00900E3D"/>
    <w:rsid w:val="0090628A"/>
    <w:rsid w:val="00906441"/>
    <w:rsid w:val="009165DB"/>
    <w:rsid w:val="00935044"/>
    <w:rsid w:val="009418D5"/>
    <w:rsid w:val="009512D8"/>
    <w:rsid w:val="00953005"/>
    <w:rsid w:val="00957998"/>
    <w:rsid w:val="009650DB"/>
    <w:rsid w:val="00971D89"/>
    <w:rsid w:val="00974524"/>
    <w:rsid w:val="009819E1"/>
    <w:rsid w:val="009917B1"/>
    <w:rsid w:val="009A5183"/>
    <w:rsid w:val="009C06EC"/>
    <w:rsid w:val="009C19AD"/>
    <w:rsid w:val="009C3187"/>
    <w:rsid w:val="009C7731"/>
    <w:rsid w:val="009C7987"/>
    <w:rsid w:val="009F46C4"/>
    <w:rsid w:val="009F7340"/>
    <w:rsid w:val="00A03640"/>
    <w:rsid w:val="00A044CC"/>
    <w:rsid w:val="00A20EFB"/>
    <w:rsid w:val="00A32C78"/>
    <w:rsid w:val="00A35D8D"/>
    <w:rsid w:val="00A36154"/>
    <w:rsid w:val="00A36337"/>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2F07"/>
    <w:rsid w:val="00B062B8"/>
    <w:rsid w:val="00B06DAC"/>
    <w:rsid w:val="00B1198C"/>
    <w:rsid w:val="00B145EC"/>
    <w:rsid w:val="00B2022F"/>
    <w:rsid w:val="00B21F17"/>
    <w:rsid w:val="00B220DD"/>
    <w:rsid w:val="00B30105"/>
    <w:rsid w:val="00B31FB3"/>
    <w:rsid w:val="00B4079D"/>
    <w:rsid w:val="00B4717A"/>
    <w:rsid w:val="00B54C1B"/>
    <w:rsid w:val="00B60D05"/>
    <w:rsid w:val="00B715B1"/>
    <w:rsid w:val="00B936D5"/>
    <w:rsid w:val="00B96FED"/>
    <w:rsid w:val="00B97BAF"/>
    <w:rsid w:val="00BB6505"/>
    <w:rsid w:val="00BB6E79"/>
    <w:rsid w:val="00BD3FA3"/>
    <w:rsid w:val="00BD61FB"/>
    <w:rsid w:val="00BE0C25"/>
    <w:rsid w:val="00BE1DCA"/>
    <w:rsid w:val="00BE3603"/>
    <w:rsid w:val="00BE3DFD"/>
    <w:rsid w:val="00BF6659"/>
    <w:rsid w:val="00C10DFC"/>
    <w:rsid w:val="00C25ACA"/>
    <w:rsid w:val="00C262F4"/>
    <w:rsid w:val="00C31FB5"/>
    <w:rsid w:val="00C32E24"/>
    <w:rsid w:val="00C33169"/>
    <w:rsid w:val="00C445D6"/>
    <w:rsid w:val="00C45DC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05326"/>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2FF7"/>
    <w:rsid w:val="00D7720D"/>
    <w:rsid w:val="00D8026C"/>
    <w:rsid w:val="00D929F5"/>
    <w:rsid w:val="00D94BCD"/>
    <w:rsid w:val="00D97783"/>
    <w:rsid w:val="00DA2653"/>
    <w:rsid w:val="00DA2D5C"/>
    <w:rsid w:val="00DA3626"/>
    <w:rsid w:val="00DB215C"/>
    <w:rsid w:val="00DB27E9"/>
    <w:rsid w:val="00DB6917"/>
    <w:rsid w:val="00DD1ECD"/>
    <w:rsid w:val="00E0693A"/>
    <w:rsid w:val="00E07095"/>
    <w:rsid w:val="00E10ED7"/>
    <w:rsid w:val="00E1325F"/>
    <w:rsid w:val="00E14963"/>
    <w:rsid w:val="00E1556A"/>
    <w:rsid w:val="00E16153"/>
    <w:rsid w:val="00E22552"/>
    <w:rsid w:val="00E23A6E"/>
    <w:rsid w:val="00E2700F"/>
    <w:rsid w:val="00E32F8E"/>
    <w:rsid w:val="00E44983"/>
    <w:rsid w:val="00E449B2"/>
    <w:rsid w:val="00E50889"/>
    <w:rsid w:val="00E72767"/>
    <w:rsid w:val="00E73AEB"/>
    <w:rsid w:val="00E82E8C"/>
    <w:rsid w:val="00E84F92"/>
    <w:rsid w:val="00E93810"/>
    <w:rsid w:val="00EB2B59"/>
    <w:rsid w:val="00EC4013"/>
    <w:rsid w:val="00ED7E68"/>
    <w:rsid w:val="00EE0432"/>
    <w:rsid w:val="00EE1EB3"/>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5260F030"/>
  <w15:docId w15:val="{4E78E2ED-B481-495E-B03F-BF9B16A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
    <w:semiHidden/>
    <w:unhideWhenUsed/>
    <w:qFormat/>
    <w:rsid w:val="008601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ootnote Text Char1 Char"/>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uiPriority w:val="99"/>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aliases w:val="Footnote Reference Number,Footnote Reference_LVL6,Footnote Reference_LVL61,Footnote Reference_LVL62,Footnote Reference_LVL63,Footnote Reference_LVL64,Címsor 5 Char1"/>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character" w:customStyle="1" w:styleId="Heading2Char">
    <w:name w:val="Heading 2 Char"/>
    <w:basedOn w:val="DefaultParagraphFont"/>
    <w:link w:val="Heading2"/>
    <w:uiPriority w:val="9"/>
    <w:semiHidden/>
    <w:rsid w:val="00860184"/>
    <w:rPr>
      <w:rFonts w:asciiTheme="majorHAnsi" w:eastAsiaTheme="majorEastAsia" w:hAnsiTheme="majorHAnsi" w:cstheme="majorBidi"/>
      <w:color w:val="365F91" w:themeColor="accent1" w:themeShade="BF"/>
      <w:sz w:val="26"/>
      <w:szCs w:val="26"/>
      <w:lang w:val="en-AU"/>
    </w:rPr>
  </w:style>
  <w:style w:type="character" w:styleId="Strong">
    <w:name w:val="Strong"/>
    <w:basedOn w:val="DefaultParagraphFont"/>
    <w:uiPriority w:val="22"/>
    <w:qFormat/>
    <w:rsid w:val="002616EC"/>
    <w:rPr>
      <w:b/>
      <w:bCs/>
    </w:rPr>
  </w:style>
  <w:style w:type="character" w:customStyle="1" w:styleId="hgkelc">
    <w:name w:val="hgkelc"/>
    <w:basedOn w:val="DefaultParagraphFont"/>
    <w:rsid w:val="002616EC"/>
  </w:style>
  <w:style w:type="paragraph" w:styleId="BodyTextIndent3">
    <w:name w:val="Body Text Indent 3"/>
    <w:basedOn w:val="Normal"/>
    <w:link w:val="BodyTextIndent3Char"/>
    <w:uiPriority w:val="99"/>
    <w:semiHidden/>
    <w:unhideWhenUsed/>
    <w:rsid w:val="00E84F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4F92"/>
    <w:rPr>
      <w:rFonts w:ascii="Arial" w:hAnsi="Arial" w:cs="Arial"/>
      <w:color w:val="000000"/>
      <w:sz w:val="16"/>
      <w:szCs w:val="16"/>
      <w:lang w:val="en-AU"/>
    </w:rPr>
  </w:style>
  <w:style w:type="paragraph" w:styleId="ListParagraph">
    <w:name w:val="List Paragraph"/>
    <w:basedOn w:val="Normal"/>
    <w:uiPriority w:val="34"/>
    <w:qFormat/>
    <w:rsid w:val="00E84F92"/>
    <w:pPr>
      <w:ind w:left="720"/>
      <w:contextualSpacing/>
    </w:pPr>
    <w:rPr>
      <w:color w:val="auto"/>
      <w:lang w:val="el" w:eastAsia="en-US"/>
    </w:rPr>
  </w:style>
  <w:style w:type="paragraph" w:customStyle="1" w:styleId="P68B1DB1-BodyTextIndent32">
    <w:name w:val="P68B1DB1-BodyTextIndent32"/>
    <w:basedOn w:val="BodyTextIndent3"/>
    <w:rsid w:val="00E84F92"/>
    <w:rPr>
      <w:rFonts w:asciiTheme="minorHAnsi" w:hAnsiTheme="minorHAnsi" w:cstheme="minorHAnsi"/>
      <w:b/>
      <w:i/>
      <w:color w:val="auto"/>
      <w:sz w:val="22"/>
      <w:szCs w:val="20"/>
      <w:lang w:val="el" w:eastAsia="en-US"/>
    </w:rPr>
  </w:style>
  <w:style w:type="paragraph" w:customStyle="1" w:styleId="P68B1DB1-BodyTextIndent33">
    <w:name w:val="P68B1DB1-BodyTextIndent33"/>
    <w:basedOn w:val="BodyTextIndent3"/>
    <w:rsid w:val="00E84F92"/>
    <w:rPr>
      <w:rFonts w:asciiTheme="minorHAnsi" w:hAnsiTheme="minorHAnsi" w:cstheme="minorHAnsi"/>
      <w:color w:val="auto"/>
      <w:sz w:val="22"/>
      <w:szCs w:val="20"/>
      <w:lang w:val="el" w:eastAsia="en-US"/>
    </w:rPr>
  </w:style>
  <w:style w:type="paragraph" w:customStyle="1" w:styleId="P68B1DB1-BodyTextIndent35">
    <w:name w:val="P68B1DB1-BodyTextIndent35"/>
    <w:basedOn w:val="BodyTextIndent3"/>
    <w:rsid w:val="00E84F92"/>
    <w:rPr>
      <w:rFonts w:asciiTheme="minorHAnsi"/>
      <w:color w:val="auto"/>
      <w:sz w:val="22"/>
      <w:szCs w:val="20"/>
      <w:lang w:val="el" w:eastAsia="en-US"/>
    </w:rPr>
  </w:style>
  <w:style w:type="paragraph" w:customStyle="1" w:styleId="P68B1DB1-BodyTextIndent36">
    <w:name w:val="P68B1DB1-BodyTextIndent36"/>
    <w:basedOn w:val="BodyTextIndent3"/>
    <w:rsid w:val="00E84F92"/>
    <w:rPr>
      <w:color w:val="auto"/>
      <w:sz w:val="22"/>
      <w:szCs w:val="20"/>
      <w:lang w:val="e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4430">
      <w:bodyDiv w:val="1"/>
      <w:marLeft w:val="0"/>
      <w:marRight w:val="0"/>
      <w:marTop w:val="0"/>
      <w:marBottom w:val="0"/>
      <w:divBdr>
        <w:top w:val="none" w:sz="0" w:space="0" w:color="auto"/>
        <w:left w:val="none" w:sz="0" w:space="0" w:color="auto"/>
        <w:bottom w:val="none" w:sz="0" w:space="0" w:color="auto"/>
        <w:right w:val="none" w:sz="0" w:space="0" w:color="auto"/>
      </w:divBdr>
      <w:divsChild>
        <w:div w:id="901134687">
          <w:marLeft w:val="0"/>
          <w:marRight w:val="0"/>
          <w:marTop w:val="0"/>
          <w:marBottom w:val="0"/>
          <w:divBdr>
            <w:top w:val="none" w:sz="0" w:space="0" w:color="auto"/>
            <w:left w:val="none" w:sz="0" w:space="0" w:color="auto"/>
            <w:bottom w:val="none" w:sz="0" w:space="0" w:color="auto"/>
            <w:right w:val="none" w:sz="0" w:space="0" w:color="auto"/>
          </w:divBdr>
          <w:divsChild>
            <w:div w:id="20666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ecb/status/707936983239299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1349-3AD2-4780-AB7F-2AAF3CBB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27919</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Section</dc:creator>
  <cp:lastModifiedBy>Danou Kleopatra</cp:lastModifiedBy>
  <cp:revision>5</cp:revision>
  <cp:lastPrinted>2024-01-15T13:27:00Z</cp:lastPrinted>
  <dcterms:created xsi:type="dcterms:W3CDTF">2024-02-26T13:14:00Z</dcterms:created>
  <dcterms:modified xsi:type="dcterms:W3CDTF">2024-02-26T14:35:00Z</dcterms:modified>
</cp:coreProperties>
</file>