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5CC7" w14:textId="61573989" w:rsidR="00812069" w:rsidRPr="0009746D" w:rsidRDefault="00812069" w:rsidP="006E4F0D">
      <w:pPr>
        <w:shd w:val="clear" w:color="auto" w:fill="D5DCE4" w:themeFill="text2" w:themeFillTint="33"/>
        <w:spacing w:line="240" w:lineRule="auto"/>
        <w:jc w:val="center"/>
        <w:outlineLvl w:val="0"/>
        <w:rPr>
          <w:rFonts w:cs="Tahoma"/>
          <w:b/>
          <w:sz w:val="24"/>
          <w:szCs w:val="24"/>
          <w:lang w:val="el-GR"/>
        </w:rPr>
      </w:pPr>
      <w:r w:rsidRPr="006E4F0D">
        <w:rPr>
          <w:rFonts w:cs="Tahoma"/>
          <w:b/>
          <w:sz w:val="24"/>
          <w:szCs w:val="24"/>
          <w:lang w:val="el-GR"/>
        </w:rPr>
        <w:t>Δελτίο Τύπου</w:t>
      </w:r>
      <w:r w:rsidR="00B40B5E" w:rsidRPr="006E4F0D">
        <w:rPr>
          <w:rFonts w:cs="Tahoma"/>
          <w:b/>
          <w:sz w:val="24"/>
          <w:szCs w:val="24"/>
          <w:lang w:val="el-GR"/>
        </w:rPr>
        <w:t xml:space="preserve"> | </w:t>
      </w:r>
      <w:r w:rsidR="00C5631C" w:rsidRPr="0009746D">
        <w:rPr>
          <w:rFonts w:cs="Tahoma"/>
          <w:b/>
          <w:sz w:val="24"/>
          <w:szCs w:val="24"/>
          <w:lang w:val="el-GR"/>
        </w:rPr>
        <w:t>1</w:t>
      </w:r>
      <w:r w:rsidR="00C46B2A">
        <w:rPr>
          <w:rFonts w:cs="Tahoma"/>
          <w:b/>
          <w:sz w:val="24"/>
          <w:szCs w:val="24"/>
          <w:lang w:val="el-GR"/>
        </w:rPr>
        <w:t>8</w:t>
      </w:r>
      <w:r w:rsidR="0009746D" w:rsidRPr="0009746D">
        <w:rPr>
          <w:rFonts w:cs="Tahoma"/>
          <w:b/>
          <w:sz w:val="24"/>
          <w:szCs w:val="24"/>
          <w:lang w:val="el-GR"/>
        </w:rPr>
        <w:t>.12</w:t>
      </w:r>
      <w:r w:rsidR="00B40B5E" w:rsidRPr="006E4F0D">
        <w:rPr>
          <w:rFonts w:cs="Tahoma"/>
          <w:b/>
          <w:sz w:val="24"/>
          <w:szCs w:val="24"/>
          <w:lang w:val="el-GR"/>
        </w:rPr>
        <w:t>.202</w:t>
      </w:r>
      <w:r w:rsidR="0009746D" w:rsidRPr="0009746D">
        <w:rPr>
          <w:rFonts w:cs="Tahoma"/>
          <w:b/>
          <w:sz w:val="24"/>
          <w:szCs w:val="24"/>
          <w:lang w:val="el-GR"/>
        </w:rPr>
        <w:t>5</w:t>
      </w:r>
    </w:p>
    <w:p w14:paraId="1DD0C19F" w14:textId="1C0C44CD" w:rsidR="00B40B5E" w:rsidRPr="006E4F0D" w:rsidRDefault="0009746D" w:rsidP="006E4F0D">
      <w:pPr>
        <w:shd w:val="clear" w:color="auto" w:fill="D5DCE4" w:themeFill="text2" w:themeFillTint="33"/>
        <w:spacing w:line="240" w:lineRule="auto"/>
        <w:jc w:val="center"/>
        <w:outlineLvl w:val="0"/>
        <w:rPr>
          <w:rFonts w:cs="Tahoma"/>
          <w:b/>
          <w:sz w:val="24"/>
          <w:szCs w:val="24"/>
          <w:lang w:val="el-GR"/>
        </w:rPr>
      </w:pPr>
      <w:r>
        <w:rPr>
          <w:rFonts w:cs="Tahoma"/>
          <w:b/>
          <w:sz w:val="24"/>
          <w:szCs w:val="24"/>
          <w:lang w:val="el-GR"/>
        </w:rPr>
        <w:t>Δημοσίευση</w:t>
      </w:r>
      <w:r w:rsidR="00B40B5E">
        <w:rPr>
          <w:rFonts w:cs="Tahoma"/>
          <w:b/>
          <w:sz w:val="24"/>
          <w:szCs w:val="24"/>
          <w:lang w:val="el-GR"/>
        </w:rPr>
        <w:t xml:space="preserve"> </w:t>
      </w:r>
      <w:r w:rsidR="00FD7180">
        <w:rPr>
          <w:rFonts w:cs="Tahoma"/>
          <w:b/>
          <w:sz w:val="24"/>
          <w:szCs w:val="24"/>
          <w:lang w:val="el-GR"/>
        </w:rPr>
        <w:t>μ</w:t>
      </w:r>
      <w:r w:rsidR="00B40B5E">
        <w:rPr>
          <w:rFonts w:cs="Tahoma"/>
          <w:b/>
          <w:sz w:val="24"/>
          <w:szCs w:val="24"/>
          <w:lang w:val="el-GR"/>
        </w:rPr>
        <w:t>ελέτης ΙΟΒΕ</w:t>
      </w:r>
    </w:p>
    <w:p w14:paraId="7167C015" w14:textId="5CC0BCE6" w:rsidR="00812069" w:rsidRPr="006E4F0D" w:rsidRDefault="00B40B5E" w:rsidP="006E4F0D">
      <w:pPr>
        <w:shd w:val="clear" w:color="auto" w:fill="D5DCE4" w:themeFill="text2" w:themeFillTint="33"/>
        <w:spacing w:after="0" w:line="240" w:lineRule="auto"/>
        <w:jc w:val="center"/>
        <w:outlineLvl w:val="0"/>
        <w:rPr>
          <w:rFonts w:cs="Tahoma"/>
          <w:b/>
          <w:sz w:val="24"/>
          <w:szCs w:val="24"/>
          <w:lang w:val="el-GR"/>
        </w:rPr>
      </w:pPr>
      <w:r>
        <w:rPr>
          <w:rFonts w:cs="Tahoma"/>
          <w:b/>
          <w:sz w:val="24"/>
          <w:szCs w:val="24"/>
          <w:lang w:val="el-GR"/>
        </w:rPr>
        <w:t>«</w:t>
      </w:r>
      <w:r w:rsidR="00E562E9" w:rsidRPr="006E4F0D">
        <w:rPr>
          <w:rFonts w:cs="Tahoma"/>
          <w:b/>
          <w:sz w:val="24"/>
          <w:szCs w:val="24"/>
          <w:lang w:val="el-GR"/>
        </w:rPr>
        <w:t>Ηλεκτρονικές πληρωμές στην Ελλάδα</w:t>
      </w:r>
      <w:r w:rsidR="0009746D">
        <w:rPr>
          <w:rFonts w:cs="Tahoma"/>
          <w:b/>
          <w:sz w:val="24"/>
          <w:szCs w:val="24"/>
          <w:lang w:val="el-GR"/>
        </w:rPr>
        <w:t xml:space="preserve">: Μια δεκαετία ταχείας </w:t>
      </w:r>
      <w:r w:rsidR="00EA2EB9">
        <w:rPr>
          <w:rFonts w:cs="Tahoma"/>
          <w:b/>
          <w:sz w:val="24"/>
          <w:szCs w:val="24"/>
          <w:lang w:val="el-GR"/>
        </w:rPr>
        <w:t>εξάπλωσ</w:t>
      </w:r>
      <w:r w:rsidR="0009746D">
        <w:rPr>
          <w:rFonts w:cs="Tahoma"/>
          <w:b/>
          <w:sz w:val="24"/>
          <w:szCs w:val="24"/>
          <w:lang w:val="el-GR"/>
        </w:rPr>
        <w:t>ης</w:t>
      </w:r>
      <w:r>
        <w:rPr>
          <w:rFonts w:cs="Tahoma"/>
          <w:b/>
          <w:sz w:val="24"/>
          <w:szCs w:val="24"/>
          <w:lang w:val="el-GR"/>
        </w:rPr>
        <w:t>»</w:t>
      </w:r>
    </w:p>
    <w:p w14:paraId="20901919" w14:textId="77777777" w:rsidR="00B40B5E" w:rsidRPr="00542663" w:rsidRDefault="00B40B5E" w:rsidP="006E4F0D">
      <w:pPr>
        <w:spacing w:after="0" w:line="240" w:lineRule="auto"/>
        <w:jc w:val="center"/>
        <w:outlineLvl w:val="0"/>
        <w:rPr>
          <w:rFonts w:cs="Tahoma"/>
          <w:b/>
          <w:sz w:val="24"/>
          <w:szCs w:val="24"/>
          <w:u w:val="single"/>
          <w:lang w:val="el-GR"/>
        </w:rPr>
      </w:pPr>
    </w:p>
    <w:p w14:paraId="7BE0D5BC" w14:textId="7800343E" w:rsidR="001D6C86" w:rsidRDefault="001D6C86" w:rsidP="00AD3030">
      <w:pPr>
        <w:jc w:val="both"/>
        <w:rPr>
          <w:lang w:val="el-GR"/>
        </w:rPr>
      </w:pPr>
      <w:r>
        <w:rPr>
          <w:lang w:val="el-GR"/>
        </w:rPr>
        <w:t xml:space="preserve">Τη δεύτερη ταχύτερη </w:t>
      </w:r>
      <w:r w:rsidR="006776DD">
        <w:rPr>
          <w:lang w:val="el-GR"/>
        </w:rPr>
        <w:t>εξάπλωση της χρήσης καρτών</w:t>
      </w:r>
      <w:r>
        <w:rPr>
          <w:lang w:val="el-GR"/>
        </w:rPr>
        <w:t xml:space="preserve"> στην ΕΕ των 27</w:t>
      </w:r>
      <w:r w:rsidR="00855516">
        <w:rPr>
          <w:lang w:val="el-GR"/>
        </w:rPr>
        <w:t xml:space="preserve"> </w:t>
      </w:r>
      <w:r>
        <w:rPr>
          <w:lang w:val="el-GR"/>
        </w:rPr>
        <w:t xml:space="preserve">σημειώνει η </w:t>
      </w:r>
      <w:r w:rsidR="006776DD">
        <w:rPr>
          <w:lang w:val="el-GR"/>
        </w:rPr>
        <w:t>Ελλάδα τη δεκαετία 2015-2024, σύμφωνα με ν</w:t>
      </w:r>
      <w:r w:rsidR="00B74E26">
        <w:rPr>
          <w:lang w:val="el-GR"/>
        </w:rPr>
        <w:t xml:space="preserve">έα </w:t>
      </w:r>
      <w:r w:rsidR="00FD7180">
        <w:rPr>
          <w:lang w:val="el-GR"/>
        </w:rPr>
        <w:t>μελέτη</w:t>
      </w:r>
      <w:r w:rsidR="000656D7">
        <w:rPr>
          <w:lang w:val="el-GR"/>
        </w:rPr>
        <w:t xml:space="preserve"> του </w:t>
      </w:r>
      <w:r w:rsidR="000656D7" w:rsidRPr="000662B0">
        <w:rPr>
          <w:b/>
          <w:lang w:val="el-GR"/>
        </w:rPr>
        <w:t>Ιδρύ</w:t>
      </w:r>
      <w:r w:rsidR="00AD3030" w:rsidRPr="000662B0">
        <w:rPr>
          <w:b/>
          <w:lang w:val="el-GR"/>
        </w:rPr>
        <w:t xml:space="preserve">ματος Οικονομικών και </w:t>
      </w:r>
      <w:r w:rsidR="00AD3030" w:rsidRPr="00E57B64">
        <w:rPr>
          <w:b/>
          <w:lang w:val="el-GR"/>
        </w:rPr>
        <w:t>Βιομηχανικών</w:t>
      </w:r>
      <w:r w:rsidR="0003487A">
        <w:rPr>
          <w:b/>
          <w:lang w:val="el-GR"/>
        </w:rPr>
        <w:t xml:space="preserve"> Ερευνών</w:t>
      </w:r>
      <w:r w:rsidR="00AD3030">
        <w:rPr>
          <w:lang w:val="el-GR"/>
        </w:rPr>
        <w:t xml:space="preserve">. </w:t>
      </w:r>
    </w:p>
    <w:p w14:paraId="365EAE13" w14:textId="6D77983B" w:rsidR="006271B0" w:rsidRDefault="00AD3030" w:rsidP="00AD3030">
      <w:pPr>
        <w:jc w:val="both"/>
        <w:rPr>
          <w:lang w:val="el-GR"/>
        </w:rPr>
      </w:pPr>
      <w:r>
        <w:rPr>
          <w:lang w:val="el-GR"/>
        </w:rPr>
        <w:t>Στη μελέτη</w:t>
      </w:r>
      <w:r w:rsidR="001D6C86">
        <w:rPr>
          <w:lang w:val="el-GR"/>
        </w:rPr>
        <w:t xml:space="preserve"> με τίτλο:</w:t>
      </w:r>
      <w:r>
        <w:rPr>
          <w:lang w:val="el-GR"/>
        </w:rPr>
        <w:t xml:space="preserve"> </w:t>
      </w:r>
      <w:r w:rsidRPr="00812069">
        <w:rPr>
          <w:b/>
          <w:lang w:val="el-GR"/>
        </w:rPr>
        <w:t>«</w:t>
      </w:r>
      <w:r w:rsidR="00823A5C">
        <w:rPr>
          <w:b/>
          <w:lang w:val="el-GR"/>
        </w:rPr>
        <w:t>Ηλεκτρονικές πληρωμές στην Ελλάδα</w:t>
      </w:r>
      <w:r w:rsidR="0009746D">
        <w:rPr>
          <w:b/>
          <w:lang w:val="el-GR"/>
        </w:rPr>
        <w:t xml:space="preserve">: μια δεκαετία ταχείας </w:t>
      </w:r>
      <w:r w:rsidR="00EA2EB9">
        <w:rPr>
          <w:b/>
          <w:lang w:val="el-GR"/>
        </w:rPr>
        <w:t>εξάπλω</w:t>
      </w:r>
      <w:r w:rsidR="0009746D">
        <w:rPr>
          <w:b/>
          <w:lang w:val="el-GR"/>
        </w:rPr>
        <w:t>σης</w:t>
      </w:r>
      <w:r w:rsidRPr="00812069">
        <w:rPr>
          <w:b/>
          <w:lang w:val="el-GR"/>
        </w:rPr>
        <w:t>»</w:t>
      </w:r>
      <w:r>
        <w:rPr>
          <w:b/>
          <w:lang w:val="el-GR"/>
        </w:rPr>
        <w:t>,</w:t>
      </w:r>
      <w:r w:rsidRPr="00812069">
        <w:rPr>
          <w:b/>
          <w:lang w:val="el-GR"/>
        </w:rPr>
        <w:t xml:space="preserve"> </w:t>
      </w:r>
      <w:r w:rsidRPr="00812069">
        <w:rPr>
          <w:lang w:val="el-GR"/>
        </w:rPr>
        <w:t xml:space="preserve">που </w:t>
      </w:r>
      <w:r w:rsidR="004E591D">
        <w:rPr>
          <w:lang w:val="el-GR"/>
        </w:rPr>
        <w:t>δημοσιεύθηκε</w:t>
      </w:r>
      <w:r w:rsidRPr="00812069">
        <w:rPr>
          <w:lang w:val="el-GR"/>
        </w:rPr>
        <w:t xml:space="preserve"> </w:t>
      </w:r>
      <w:r>
        <w:rPr>
          <w:lang w:val="el-GR"/>
        </w:rPr>
        <w:t>σήμερα</w:t>
      </w:r>
      <w:r w:rsidRPr="00812069">
        <w:rPr>
          <w:lang w:val="el-GR"/>
        </w:rPr>
        <w:t xml:space="preserve">, </w:t>
      </w:r>
      <w:r w:rsidR="00FD7180">
        <w:rPr>
          <w:lang w:val="el-GR"/>
        </w:rPr>
        <w:t>καταγράφ</w:t>
      </w:r>
      <w:r w:rsidR="006776DD">
        <w:rPr>
          <w:lang w:val="el-GR"/>
        </w:rPr>
        <w:t>ονται αφενός η πτωτική πορεία στη συνολική χρήση μετρητών, αφετέρου η διαφορετική ένταση χρήσης ηλεκτρονικών πληρωμών ανά επιλεγμένες κατηγορίες συναλλαγών, ενώ αναδεικνύεται η συνεχιζόμενη επίδραση της χρήσης καρτών πληρωμών στη βελτίωση της φορολογικής συμμόρφωσης.</w:t>
      </w:r>
      <w:r w:rsidR="00D53760" w:rsidRPr="00D53760">
        <w:rPr>
          <w:lang w:val="el-GR"/>
        </w:rPr>
        <w:t xml:space="preserve"> </w:t>
      </w:r>
      <w:r w:rsidR="00D45D55">
        <w:rPr>
          <w:lang w:val="el-GR"/>
        </w:rPr>
        <w:t xml:space="preserve">Ειδικότερα, </w:t>
      </w:r>
      <w:r w:rsidR="006271B0">
        <w:rPr>
          <w:lang w:val="el-GR"/>
        </w:rPr>
        <w:t xml:space="preserve">οι ηλεκτρονικές πληρωμές συνέχισαν να επεκτείνονται συστηματικά στην Ελλάδα και μετά την εποχή της πανδημίας, </w:t>
      </w:r>
      <w:r w:rsidR="0026164B">
        <w:rPr>
          <w:lang w:val="el-GR"/>
        </w:rPr>
        <w:t>ενώ παρέμεινε αμείωτη η</w:t>
      </w:r>
      <w:r w:rsidR="006271B0">
        <w:rPr>
          <w:lang w:val="el-GR"/>
        </w:rPr>
        <w:t xml:space="preserve"> θετική επίδραση στα δημοσιονομικά έσοδα.</w:t>
      </w:r>
    </w:p>
    <w:p w14:paraId="7FE93E82" w14:textId="77777777" w:rsidR="001D6C86" w:rsidRDefault="00AD3030" w:rsidP="00AD3030">
      <w:pPr>
        <w:jc w:val="both"/>
        <w:rPr>
          <w:lang w:val="el-GR"/>
        </w:rPr>
      </w:pPr>
      <w:r>
        <w:rPr>
          <w:lang w:val="el-GR"/>
        </w:rPr>
        <w:t xml:space="preserve">Όπως προκύπτει από τη μελέτη </w:t>
      </w:r>
      <w:r w:rsidR="000662B0">
        <w:rPr>
          <w:lang w:val="el-GR"/>
        </w:rPr>
        <w:t>του ΙΟΒΕ</w:t>
      </w:r>
      <w:r w:rsidR="00F162CB">
        <w:rPr>
          <w:lang w:val="el-GR"/>
        </w:rPr>
        <w:t>,</w:t>
      </w:r>
      <w:r w:rsidR="000662B0">
        <w:rPr>
          <w:lang w:val="el-GR"/>
        </w:rPr>
        <w:t xml:space="preserve"> </w:t>
      </w:r>
      <w:r>
        <w:rPr>
          <w:lang w:val="el-GR"/>
        </w:rPr>
        <w:t xml:space="preserve">η χρήση καρτών </w:t>
      </w:r>
      <w:r w:rsidR="001E050E">
        <w:rPr>
          <w:lang w:val="el-GR"/>
        </w:rPr>
        <w:t>έχει διευρυνθεί συστηματικά</w:t>
      </w:r>
      <w:r>
        <w:rPr>
          <w:lang w:val="el-GR"/>
        </w:rPr>
        <w:t xml:space="preserve"> μετά το 201</w:t>
      </w:r>
      <w:r w:rsidR="001C5260">
        <w:rPr>
          <w:lang w:val="el-GR"/>
        </w:rPr>
        <w:t>4</w:t>
      </w:r>
      <w:r>
        <w:rPr>
          <w:lang w:val="el-GR"/>
        </w:rPr>
        <w:t xml:space="preserve">, </w:t>
      </w:r>
      <w:r w:rsidR="001E050E">
        <w:rPr>
          <w:lang w:val="el-GR"/>
        </w:rPr>
        <w:t>σε συνέχεια</w:t>
      </w:r>
      <w:r>
        <w:rPr>
          <w:lang w:val="el-GR"/>
        </w:rPr>
        <w:t xml:space="preserve"> της επιβολής κεφαλαιακών περιορισμών, </w:t>
      </w:r>
      <w:r w:rsidR="00846C00">
        <w:rPr>
          <w:lang w:val="el-GR"/>
        </w:rPr>
        <w:t xml:space="preserve">των </w:t>
      </w:r>
      <w:r w:rsidR="00642F77">
        <w:rPr>
          <w:lang w:val="el-GR"/>
        </w:rPr>
        <w:t xml:space="preserve">μέτρων προώθησης των ηλεκτρονικών πληρωμών </w:t>
      </w:r>
      <w:r w:rsidR="001E050E">
        <w:rPr>
          <w:lang w:val="el-GR"/>
        </w:rPr>
        <w:t>(</w:t>
      </w:r>
      <w:r w:rsidR="00642F77">
        <w:rPr>
          <w:lang w:val="el-GR"/>
        </w:rPr>
        <w:t>νόμο</w:t>
      </w:r>
      <w:r w:rsidR="001E050E">
        <w:rPr>
          <w:lang w:val="el-GR"/>
        </w:rPr>
        <w:t>ι</w:t>
      </w:r>
      <w:r w:rsidR="00642F77">
        <w:rPr>
          <w:lang w:val="el-GR"/>
        </w:rPr>
        <w:t xml:space="preserve"> 4446/2016</w:t>
      </w:r>
      <w:r w:rsidR="001E050E">
        <w:rPr>
          <w:lang w:val="el-GR"/>
        </w:rPr>
        <w:t>, 4646/2019, 4876/2021), της κρίσης πανδημίας</w:t>
      </w:r>
      <w:r w:rsidR="001C5260">
        <w:rPr>
          <w:lang w:val="el-GR"/>
        </w:rPr>
        <w:t xml:space="preserve">, αλλά και διοικητικών μέτρων όπως η σύνδεση των τερματικών </w:t>
      </w:r>
      <w:r w:rsidR="001C5260">
        <w:rPr>
          <w:lang w:val="fr-CH"/>
        </w:rPr>
        <w:t>POS</w:t>
      </w:r>
      <w:r w:rsidR="001C5260" w:rsidRPr="001C5260">
        <w:rPr>
          <w:lang w:val="el-GR"/>
        </w:rPr>
        <w:t xml:space="preserve"> </w:t>
      </w:r>
      <w:r w:rsidR="001C5260">
        <w:rPr>
          <w:lang w:val="el-GR"/>
        </w:rPr>
        <w:t>με την ΑΑΔΕ το 2024</w:t>
      </w:r>
      <w:r w:rsidR="00933265">
        <w:rPr>
          <w:lang w:val="el-GR"/>
        </w:rPr>
        <w:t xml:space="preserve"> (Διάγραμμα 1)</w:t>
      </w:r>
      <w:r>
        <w:rPr>
          <w:lang w:val="el-GR"/>
        </w:rPr>
        <w:t>.</w:t>
      </w:r>
      <w:r w:rsidR="001E050E">
        <w:rPr>
          <w:lang w:val="el-GR"/>
        </w:rPr>
        <w:t xml:space="preserve"> </w:t>
      </w:r>
    </w:p>
    <w:p w14:paraId="0EEF93A1" w14:textId="264B8850" w:rsidR="008B280C" w:rsidRDefault="00DB59D1" w:rsidP="00AD3030">
      <w:pPr>
        <w:jc w:val="both"/>
        <w:rPr>
          <w:b/>
          <w:bCs/>
          <w:color w:val="000000" w:themeColor="text1"/>
          <w:lang w:val="el-GR"/>
        </w:rPr>
      </w:pPr>
      <w:r>
        <w:rPr>
          <w:color w:val="000000" w:themeColor="text1"/>
          <w:lang w:val="el-GR"/>
        </w:rPr>
        <w:t xml:space="preserve">Η ταχύτητα εξάπλωσης της χρήσης καρτών πληρωμών </w:t>
      </w:r>
      <w:r w:rsidR="00591A51">
        <w:rPr>
          <w:color w:val="000000" w:themeColor="text1"/>
          <w:lang w:val="el-GR"/>
        </w:rPr>
        <w:t xml:space="preserve">τη δεκαετία 2015-2024 </w:t>
      </w:r>
      <w:r>
        <w:rPr>
          <w:color w:val="000000" w:themeColor="text1"/>
          <w:lang w:val="el-GR"/>
        </w:rPr>
        <w:t xml:space="preserve">είναι </w:t>
      </w:r>
      <w:r w:rsidR="001C5260">
        <w:rPr>
          <w:color w:val="000000" w:themeColor="text1"/>
          <w:lang w:val="el-GR"/>
        </w:rPr>
        <w:t>η δεύτερη</w:t>
      </w:r>
      <w:r>
        <w:rPr>
          <w:color w:val="000000" w:themeColor="text1"/>
          <w:lang w:val="el-GR"/>
        </w:rPr>
        <w:t xml:space="preserve"> υψηλότερ</w:t>
      </w:r>
      <w:r w:rsidR="001C5260">
        <w:rPr>
          <w:color w:val="000000" w:themeColor="text1"/>
          <w:lang w:val="el-GR"/>
        </w:rPr>
        <w:t>η</w:t>
      </w:r>
      <w:r>
        <w:rPr>
          <w:color w:val="000000" w:themeColor="text1"/>
          <w:lang w:val="el-GR"/>
        </w:rPr>
        <w:t xml:space="preserve"> στην ΕΕ-27</w:t>
      </w:r>
      <w:r w:rsidR="00591A51">
        <w:rPr>
          <w:color w:val="000000" w:themeColor="text1"/>
          <w:lang w:val="el-GR"/>
        </w:rPr>
        <w:t xml:space="preserve"> (Διάγραμμα 2)</w:t>
      </w:r>
      <w:r>
        <w:rPr>
          <w:color w:val="000000" w:themeColor="text1"/>
          <w:lang w:val="el-GR"/>
        </w:rPr>
        <w:t>.</w:t>
      </w:r>
      <w:r w:rsidR="008B280C">
        <w:rPr>
          <w:color w:val="000000" w:themeColor="text1"/>
          <w:lang w:val="el-GR"/>
        </w:rPr>
        <w:t xml:space="preserve"> </w:t>
      </w:r>
      <w:r>
        <w:rPr>
          <w:color w:val="000000" w:themeColor="text1"/>
          <w:lang w:val="el-GR"/>
        </w:rPr>
        <w:t>Ενδεικτικά, μεταξύ των ετών 2014 και 202</w:t>
      </w:r>
      <w:r w:rsidR="001C5260">
        <w:rPr>
          <w:color w:val="000000" w:themeColor="text1"/>
          <w:lang w:val="el-GR"/>
        </w:rPr>
        <w:t>4</w:t>
      </w:r>
      <w:r>
        <w:rPr>
          <w:color w:val="000000" w:themeColor="text1"/>
          <w:lang w:val="el-GR"/>
        </w:rPr>
        <w:t>, η</w:t>
      </w:r>
      <w:r w:rsidR="003D4502" w:rsidRPr="006E4F0D">
        <w:rPr>
          <w:color w:val="000000" w:themeColor="text1"/>
          <w:lang w:val="el-GR"/>
        </w:rPr>
        <w:t xml:space="preserve"> σωρευτική αύξηση στη χρήση </w:t>
      </w:r>
      <w:r>
        <w:rPr>
          <w:color w:val="000000" w:themeColor="text1"/>
          <w:lang w:val="el-GR"/>
        </w:rPr>
        <w:t>καρτών</w:t>
      </w:r>
      <w:r w:rsidR="003D4502" w:rsidRPr="006E4F0D">
        <w:rPr>
          <w:color w:val="000000" w:themeColor="text1"/>
          <w:lang w:val="el-GR"/>
        </w:rPr>
        <w:t xml:space="preserve"> </w:t>
      </w:r>
      <w:r>
        <w:rPr>
          <w:color w:val="000000" w:themeColor="text1"/>
          <w:lang w:val="el-GR"/>
        </w:rPr>
        <w:t xml:space="preserve">αγγίζει </w:t>
      </w:r>
      <w:r w:rsidR="003D4502" w:rsidRPr="006E4F0D">
        <w:rPr>
          <w:color w:val="000000" w:themeColor="text1"/>
          <w:lang w:val="el-GR"/>
        </w:rPr>
        <w:t xml:space="preserve">τις </w:t>
      </w:r>
      <w:r w:rsidRPr="00DB59D1">
        <w:rPr>
          <w:color w:val="000000" w:themeColor="text1"/>
          <w:lang w:val="el-GR"/>
        </w:rPr>
        <w:t>2</w:t>
      </w:r>
      <w:r w:rsidR="001C5260">
        <w:rPr>
          <w:color w:val="000000" w:themeColor="text1"/>
          <w:lang w:val="el-GR"/>
        </w:rPr>
        <w:t>5</w:t>
      </w:r>
      <w:r w:rsidR="003D4502" w:rsidRPr="006E4F0D">
        <w:rPr>
          <w:color w:val="000000" w:themeColor="text1"/>
          <w:lang w:val="el-GR"/>
        </w:rPr>
        <w:t xml:space="preserve"> φορές </w:t>
      </w:r>
      <w:r w:rsidR="00B74E26">
        <w:rPr>
          <w:color w:val="000000" w:themeColor="text1"/>
          <w:lang w:val="el-GR"/>
        </w:rPr>
        <w:t xml:space="preserve">ως προς </w:t>
      </w:r>
      <w:r w:rsidR="003D4502" w:rsidRPr="006E4F0D">
        <w:rPr>
          <w:color w:val="000000" w:themeColor="text1"/>
          <w:lang w:val="el-GR"/>
        </w:rPr>
        <w:t>τον αριθμό συναλλαγών</w:t>
      </w:r>
      <w:r w:rsidR="00B74E26">
        <w:rPr>
          <w:color w:val="000000" w:themeColor="text1"/>
          <w:lang w:val="el-GR"/>
        </w:rPr>
        <w:t xml:space="preserve"> και </w:t>
      </w:r>
      <w:r w:rsidR="003D4502" w:rsidRPr="006E4F0D">
        <w:rPr>
          <w:color w:val="000000" w:themeColor="text1"/>
          <w:lang w:val="el-GR"/>
        </w:rPr>
        <w:t xml:space="preserve">τις </w:t>
      </w:r>
      <w:r w:rsidR="001C5260">
        <w:rPr>
          <w:color w:val="000000" w:themeColor="text1"/>
          <w:lang w:val="el-GR"/>
        </w:rPr>
        <w:t>10</w:t>
      </w:r>
      <w:r w:rsidR="003D4502" w:rsidRPr="006E4F0D">
        <w:rPr>
          <w:color w:val="000000" w:themeColor="text1"/>
          <w:lang w:val="el-GR"/>
        </w:rPr>
        <w:t xml:space="preserve"> φορές </w:t>
      </w:r>
      <w:r w:rsidR="00B74E26">
        <w:rPr>
          <w:color w:val="000000" w:themeColor="text1"/>
          <w:lang w:val="el-GR"/>
        </w:rPr>
        <w:t xml:space="preserve">ως προς </w:t>
      </w:r>
      <w:r w:rsidR="003D4502" w:rsidRPr="006E4F0D">
        <w:rPr>
          <w:color w:val="000000" w:themeColor="text1"/>
          <w:lang w:val="el-GR"/>
        </w:rPr>
        <w:t>την αξία συναλλαγών</w:t>
      </w:r>
      <w:r>
        <w:rPr>
          <w:color w:val="000000" w:themeColor="text1"/>
          <w:lang w:val="el-GR"/>
        </w:rPr>
        <w:t xml:space="preserve"> (Διάγραμμα </w:t>
      </w:r>
      <w:r w:rsidR="00591A51">
        <w:rPr>
          <w:color w:val="000000" w:themeColor="text1"/>
          <w:lang w:val="el-GR"/>
        </w:rPr>
        <w:t>3</w:t>
      </w:r>
      <w:r>
        <w:rPr>
          <w:color w:val="000000" w:themeColor="text1"/>
          <w:lang w:val="el-GR"/>
        </w:rPr>
        <w:t>)</w:t>
      </w:r>
      <w:r w:rsidR="003D4502" w:rsidRPr="006E4F0D">
        <w:rPr>
          <w:color w:val="000000" w:themeColor="text1"/>
          <w:lang w:val="el-GR"/>
        </w:rPr>
        <w:t>.</w:t>
      </w:r>
      <w:r>
        <w:rPr>
          <w:color w:val="000000" w:themeColor="text1"/>
          <w:lang w:val="el-GR"/>
        </w:rPr>
        <w:t xml:space="preserve"> </w:t>
      </w:r>
    </w:p>
    <w:p w14:paraId="5AACFA93" w14:textId="5BB65D46" w:rsidR="00E1495E" w:rsidRDefault="00C83E33" w:rsidP="00C83E33">
      <w:pPr>
        <w:pStyle w:val="Caption"/>
      </w:pPr>
      <w:r>
        <w:lastRenderedPageBreak/>
        <w:t xml:space="preserve">Διάγραμμα </w:t>
      </w:r>
      <w:r>
        <w:fldChar w:fldCharType="begin"/>
      </w:r>
      <w:r>
        <w:instrText xml:space="preserve"> SEQ Διάγραμμα \* ARABIC </w:instrText>
      </w:r>
      <w:r>
        <w:fldChar w:fldCharType="separate"/>
      </w:r>
      <w:r w:rsidR="001D1381">
        <w:rPr>
          <w:noProof/>
        </w:rPr>
        <w:t>1</w:t>
      </w:r>
      <w:r>
        <w:fldChar w:fldCharType="end"/>
      </w:r>
      <w:r w:rsidRPr="00C83E33">
        <w:t xml:space="preserve">. </w:t>
      </w:r>
      <w:r w:rsidR="004A382D">
        <w:t>Αξία συναλλαγών με εγχώριες κάρτες, ως % της κατανάλωσης των νοικοκυριών</w:t>
      </w:r>
      <w:r w:rsidR="00F60887">
        <w:t xml:space="preserve">, </w:t>
      </w:r>
      <w:r w:rsidR="00A03E8A">
        <w:t>20</w:t>
      </w:r>
      <w:r w:rsidR="00BC394D">
        <w:t>14</w:t>
      </w:r>
      <w:r w:rsidR="00A03E8A">
        <w:t>-2</w:t>
      </w:r>
      <w:r w:rsidR="001C5260">
        <w:t>4</w:t>
      </w:r>
      <w:r w:rsidR="00BC394D">
        <w:t>, σε Ελλάδα και Ευρωζώνη</w:t>
      </w:r>
    </w:p>
    <w:p w14:paraId="123916AA" w14:textId="68C31B85" w:rsidR="004A382D" w:rsidRPr="00CA0B71" w:rsidRDefault="0052654D" w:rsidP="0052654D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2003ABC3" wp14:editId="7A355FC3">
            <wp:extent cx="5600700" cy="3680460"/>
            <wp:effectExtent l="0" t="0" r="0" b="0"/>
            <wp:docPr id="112886285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B7BB031-64D2-42B7-B16A-C94419A7DB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94B4DB4" w14:textId="72380BE0" w:rsidR="005B005E" w:rsidRDefault="005B005E" w:rsidP="004A382D">
      <w:pPr>
        <w:rPr>
          <w:sz w:val="18"/>
          <w:lang w:val="el-GR"/>
        </w:rPr>
      </w:pPr>
      <w:r w:rsidRPr="00812069">
        <w:rPr>
          <w:b/>
          <w:sz w:val="18"/>
          <w:lang w:val="el-GR"/>
        </w:rPr>
        <w:t>Πηγ</w:t>
      </w:r>
      <w:r>
        <w:rPr>
          <w:b/>
          <w:sz w:val="18"/>
          <w:lang w:val="el-GR"/>
        </w:rPr>
        <w:t>ές</w:t>
      </w:r>
      <w:r w:rsidRPr="00812069">
        <w:rPr>
          <w:b/>
          <w:sz w:val="18"/>
          <w:lang w:val="el-GR"/>
        </w:rPr>
        <w:t xml:space="preserve">: </w:t>
      </w:r>
      <w:proofErr w:type="spellStart"/>
      <w:r w:rsidRPr="005B005E">
        <w:rPr>
          <w:bCs/>
          <w:sz w:val="18"/>
          <w:lang w:val="el-GR"/>
        </w:rPr>
        <w:t>ΤτΕ</w:t>
      </w:r>
      <w:proofErr w:type="spellEnd"/>
      <w:r w:rsidRPr="005B005E">
        <w:rPr>
          <w:bCs/>
          <w:sz w:val="18"/>
          <w:lang w:val="el-GR"/>
        </w:rPr>
        <w:t xml:space="preserve">, </w:t>
      </w:r>
      <w:r w:rsidRPr="00A03E8A">
        <w:rPr>
          <w:sz w:val="18"/>
          <w:lang w:val="el-GR"/>
        </w:rPr>
        <w:t>ΕΚΤ</w:t>
      </w:r>
      <w:r>
        <w:rPr>
          <w:sz w:val="18"/>
          <w:lang w:val="el-GR"/>
        </w:rPr>
        <w:t xml:space="preserve">, </w:t>
      </w:r>
      <w:r>
        <w:rPr>
          <w:sz w:val="18"/>
        </w:rPr>
        <w:t>Eurostat</w:t>
      </w:r>
      <w:r>
        <w:rPr>
          <w:sz w:val="18"/>
          <w:lang w:val="el-GR"/>
        </w:rPr>
        <w:t>.</w:t>
      </w:r>
      <w:r>
        <w:rPr>
          <w:rFonts w:ascii="Calibri" w:hAnsi="Calibri" w:cs="Calibri"/>
          <w:color w:val="000000" w:themeColor="text1"/>
          <w:kern w:val="24"/>
          <w:sz w:val="20"/>
          <w:szCs w:val="20"/>
          <w:lang w:val="el-GR"/>
        </w:rPr>
        <w:t xml:space="preserve"> </w:t>
      </w:r>
      <w:r w:rsidRPr="00812069">
        <w:rPr>
          <w:b/>
          <w:sz w:val="18"/>
          <w:lang w:val="el-GR"/>
        </w:rPr>
        <w:t>Επεξεργασία στοιχείων:</w:t>
      </w:r>
      <w:r w:rsidRPr="00812069">
        <w:rPr>
          <w:sz w:val="18"/>
          <w:lang w:val="el-GR"/>
        </w:rPr>
        <w:t xml:space="preserve"> ΙΟΒΕ</w:t>
      </w:r>
      <w:r>
        <w:rPr>
          <w:sz w:val="18"/>
          <w:lang w:val="el-GR"/>
        </w:rPr>
        <w:t xml:space="preserve">. </w:t>
      </w:r>
      <w:r w:rsidRPr="00682CC0">
        <w:rPr>
          <w:b/>
          <w:bCs/>
          <w:sz w:val="18"/>
          <w:lang w:val="el-GR"/>
        </w:rPr>
        <w:t>Σημείωση</w:t>
      </w:r>
      <w:r w:rsidRPr="00682CC0">
        <w:rPr>
          <w:sz w:val="18"/>
          <w:lang w:val="el-GR"/>
        </w:rPr>
        <w:t xml:space="preserve">: </w:t>
      </w:r>
      <w:r w:rsidRPr="00A03E8A">
        <w:rPr>
          <w:sz w:val="18"/>
          <w:lang w:val="el-GR"/>
        </w:rPr>
        <w:t>Τα στοιχεία αφορούν εγχώριες κάρτες.</w:t>
      </w:r>
    </w:p>
    <w:p w14:paraId="526E3E64" w14:textId="2C6470F9" w:rsidR="00591A51" w:rsidRPr="00591A51" w:rsidRDefault="00591A51" w:rsidP="004A382D">
      <w:pPr>
        <w:rPr>
          <w:rFonts w:ascii="Calibri" w:eastAsia="Calibri" w:hAnsi="Calibri" w:cs="Arial"/>
          <w:b/>
          <w:bCs/>
          <w:color w:val="4F81BD"/>
          <w:szCs w:val="24"/>
          <w:lang w:val="el-GR"/>
        </w:rPr>
      </w:pPr>
      <w:r w:rsidRPr="00591A51">
        <w:rPr>
          <w:rFonts w:ascii="Calibri" w:eastAsia="Calibri" w:hAnsi="Calibri" w:cs="Arial"/>
          <w:b/>
          <w:bCs/>
          <w:color w:val="4F81BD"/>
          <w:szCs w:val="24"/>
          <w:lang w:val="el-GR"/>
        </w:rPr>
        <w:t xml:space="preserve">Διάγραμμα </w:t>
      </w:r>
      <w:r>
        <w:rPr>
          <w:rFonts w:ascii="Calibri" w:eastAsia="Calibri" w:hAnsi="Calibri" w:cs="Arial"/>
          <w:b/>
          <w:bCs/>
          <w:color w:val="4F81BD"/>
          <w:szCs w:val="24"/>
          <w:lang w:val="el-GR"/>
        </w:rPr>
        <w:t>2</w:t>
      </w:r>
      <w:r w:rsidRPr="00591A51">
        <w:rPr>
          <w:rFonts w:ascii="Calibri" w:eastAsia="Calibri" w:hAnsi="Calibri" w:cs="Arial"/>
          <w:b/>
          <w:bCs/>
          <w:color w:val="4F81BD"/>
          <w:szCs w:val="24"/>
          <w:lang w:val="el-GR"/>
        </w:rPr>
        <w:t xml:space="preserve">. Σωρευτική αύξηση στην αξία των πληρωμών με κάρτα, δεκαετία 2015-2024, </w:t>
      </w:r>
      <w:r>
        <w:rPr>
          <w:rFonts w:ascii="Calibri" w:eastAsia="Calibri" w:hAnsi="Calibri" w:cs="Arial"/>
          <w:b/>
          <w:bCs/>
          <w:color w:val="4F81BD"/>
          <w:szCs w:val="24"/>
          <w:lang w:val="el-GR"/>
        </w:rPr>
        <w:t>(</w:t>
      </w:r>
      <w:r w:rsidRPr="00591A51">
        <w:rPr>
          <w:rFonts w:ascii="Calibri" w:eastAsia="Calibri" w:hAnsi="Calibri" w:cs="Arial"/>
          <w:b/>
          <w:bCs/>
          <w:color w:val="4F81BD"/>
          <w:szCs w:val="24"/>
          <w:lang w:val="el-GR"/>
        </w:rPr>
        <w:t>λόγος ετήσιου τζίρου το 2024 προς ετήσιο τζίρο το 2014</w:t>
      </w:r>
      <w:r>
        <w:rPr>
          <w:rFonts w:ascii="Calibri" w:eastAsia="Calibri" w:hAnsi="Calibri" w:cs="Arial"/>
          <w:b/>
          <w:bCs/>
          <w:color w:val="4F81BD"/>
          <w:szCs w:val="24"/>
          <w:lang w:val="el-GR"/>
        </w:rPr>
        <w:t>)</w:t>
      </w:r>
    </w:p>
    <w:p w14:paraId="73CA34FB" w14:textId="4E16928E" w:rsidR="00591A51" w:rsidRDefault="00591A51" w:rsidP="00591A51">
      <w:pPr>
        <w:jc w:val="center"/>
        <w:rPr>
          <w:sz w:val="18"/>
          <w:lang w:val="el-GR"/>
        </w:rPr>
      </w:pPr>
      <w:r>
        <w:rPr>
          <w:noProof/>
        </w:rPr>
        <w:drawing>
          <wp:inline distT="0" distB="0" distL="0" distR="0" wp14:anchorId="53011EC3" wp14:editId="5591EB8A">
            <wp:extent cx="5234940" cy="2874010"/>
            <wp:effectExtent l="0" t="0" r="3810" b="2540"/>
            <wp:docPr id="21069502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067EF6-362B-4073-9142-A725AAEEB0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8CEC73B" w14:textId="4AD2EFD0" w:rsidR="00B623AF" w:rsidRPr="007B5B28" w:rsidRDefault="00B623AF" w:rsidP="007B5B28">
      <w:pPr>
        <w:jc w:val="both"/>
        <w:rPr>
          <w:sz w:val="18"/>
          <w:lang w:val="el-GR"/>
        </w:rPr>
      </w:pPr>
      <w:r w:rsidRPr="00812069">
        <w:rPr>
          <w:b/>
          <w:sz w:val="18"/>
          <w:lang w:val="el-GR"/>
        </w:rPr>
        <w:t>Πηγ</w:t>
      </w:r>
      <w:r>
        <w:rPr>
          <w:b/>
          <w:sz w:val="18"/>
          <w:lang w:val="el-GR"/>
        </w:rPr>
        <w:t>ές</w:t>
      </w:r>
      <w:r w:rsidRPr="00812069">
        <w:rPr>
          <w:b/>
          <w:sz w:val="18"/>
          <w:lang w:val="el-GR"/>
        </w:rPr>
        <w:t xml:space="preserve">: </w:t>
      </w:r>
      <w:proofErr w:type="spellStart"/>
      <w:r w:rsidRPr="005B005E">
        <w:rPr>
          <w:bCs/>
          <w:sz w:val="18"/>
          <w:lang w:val="el-GR"/>
        </w:rPr>
        <w:t>ΤτΕ</w:t>
      </w:r>
      <w:proofErr w:type="spellEnd"/>
      <w:r w:rsidRPr="005B005E">
        <w:rPr>
          <w:bCs/>
          <w:sz w:val="18"/>
          <w:lang w:val="el-GR"/>
        </w:rPr>
        <w:t xml:space="preserve">, </w:t>
      </w:r>
      <w:r w:rsidRPr="00A03E8A">
        <w:rPr>
          <w:sz w:val="18"/>
          <w:lang w:val="el-GR"/>
        </w:rPr>
        <w:t>ΕΚΤ</w:t>
      </w:r>
      <w:r>
        <w:rPr>
          <w:sz w:val="18"/>
          <w:lang w:val="el-GR"/>
        </w:rPr>
        <w:t>.</w:t>
      </w:r>
      <w:r>
        <w:rPr>
          <w:rFonts w:ascii="Calibri" w:hAnsi="Calibri" w:cs="Calibri"/>
          <w:color w:val="000000" w:themeColor="text1"/>
          <w:kern w:val="24"/>
          <w:sz w:val="20"/>
          <w:szCs w:val="20"/>
          <w:lang w:val="el-GR"/>
        </w:rPr>
        <w:t xml:space="preserve"> </w:t>
      </w:r>
      <w:r w:rsidRPr="00812069">
        <w:rPr>
          <w:b/>
          <w:sz w:val="18"/>
          <w:lang w:val="el-GR"/>
        </w:rPr>
        <w:t>Επεξεργασία στοιχείων:</w:t>
      </w:r>
      <w:r w:rsidRPr="00812069">
        <w:rPr>
          <w:sz w:val="18"/>
          <w:lang w:val="el-GR"/>
        </w:rPr>
        <w:t xml:space="preserve"> ΙΟΒΕ</w:t>
      </w:r>
      <w:r>
        <w:rPr>
          <w:sz w:val="18"/>
          <w:lang w:val="el-GR"/>
        </w:rPr>
        <w:t xml:space="preserve">. </w:t>
      </w:r>
      <w:r w:rsidRPr="00682CC0">
        <w:rPr>
          <w:b/>
          <w:bCs/>
          <w:sz w:val="18"/>
          <w:lang w:val="el-GR"/>
        </w:rPr>
        <w:t>Σημείωση</w:t>
      </w:r>
      <w:r w:rsidRPr="00682CC0">
        <w:rPr>
          <w:sz w:val="18"/>
          <w:lang w:val="el-GR"/>
        </w:rPr>
        <w:t xml:space="preserve">: </w:t>
      </w:r>
      <w:r w:rsidRPr="00A03E8A">
        <w:rPr>
          <w:sz w:val="18"/>
          <w:lang w:val="el-GR"/>
        </w:rPr>
        <w:t>Τα στοιχεία αφορούν εγχώριες κάρτες.</w:t>
      </w:r>
      <w:r w:rsidR="007B5B28">
        <w:rPr>
          <w:sz w:val="18"/>
          <w:lang w:val="el-GR"/>
        </w:rPr>
        <w:t xml:space="preserve"> Η μεγάλη αύξηση στην περίπτωση της Λιθουανίας πιθανά επηρεάζεται από μεγάλη τράπεζα με έδρα τη χώρα και σημαντική δραστηριότητα στη διεθνή αγορά πληρωμών με κάρτα. </w:t>
      </w:r>
    </w:p>
    <w:p w14:paraId="21E6C966" w14:textId="6C257E53" w:rsidR="00C83E33" w:rsidRPr="00CA0B71" w:rsidRDefault="00C83E33" w:rsidP="00C83E33">
      <w:pPr>
        <w:pStyle w:val="Caption"/>
        <w:spacing w:before="140" w:after="0"/>
      </w:pPr>
      <w:r>
        <w:lastRenderedPageBreak/>
        <w:t xml:space="preserve">Διάγραμμα </w:t>
      </w:r>
      <w:r w:rsidR="00591A51">
        <w:t>3</w:t>
      </w:r>
      <w:r w:rsidRPr="00C83E33">
        <w:t xml:space="preserve">. </w:t>
      </w:r>
      <w:r>
        <w:t>Εξέλιξη χρήσης καρτών πληρωμών στην Ελλάδα, 2000-202</w:t>
      </w:r>
      <w:r w:rsidR="00CA0B71" w:rsidRPr="00CA0B71">
        <w:t>4</w:t>
      </w:r>
    </w:p>
    <w:p w14:paraId="34AC2B23" w14:textId="2B831F19" w:rsidR="001D4EDC" w:rsidRDefault="00CA0B71" w:rsidP="00AC4C4B">
      <w:pPr>
        <w:jc w:val="both"/>
        <w:rPr>
          <w:b/>
          <w:sz w:val="18"/>
          <w:lang w:val="el-GR"/>
        </w:rPr>
      </w:pPr>
      <w:r w:rsidRPr="00CA0B71">
        <w:rPr>
          <w:noProof/>
        </w:rPr>
        <w:drawing>
          <wp:inline distT="0" distB="0" distL="0" distR="0" wp14:anchorId="604CDE51" wp14:editId="4CF947CB">
            <wp:extent cx="2788920" cy="3070860"/>
            <wp:effectExtent l="0" t="0" r="0" b="0"/>
            <wp:docPr id="13651217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C60D04-ACA6-4AEC-B9BE-FFAAD19999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C5631C">
        <w:rPr>
          <w:noProof/>
          <w:lang w:val="el-GR"/>
        </w:rPr>
        <w:t xml:space="preserve"> </w:t>
      </w:r>
      <w:r w:rsidRPr="00CA0B71">
        <w:rPr>
          <w:b/>
          <w:noProof/>
          <w:sz w:val="18"/>
        </w:rPr>
        <w:drawing>
          <wp:inline distT="0" distB="0" distL="0" distR="0" wp14:anchorId="7DE1F280" wp14:editId="34B6BD00">
            <wp:extent cx="2735580" cy="3108960"/>
            <wp:effectExtent l="0" t="0" r="7620" b="0"/>
            <wp:docPr id="9930380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B18EDB1-A79F-456E-8DDE-DA8F854859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6C2CE0F" w14:textId="2A75C4AC" w:rsidR="003C58D4" w:rsidRDefault="003C58D4" w:rsidP="00AC4C4B">
      <w:pPr>
        <w:jc w:val="both"/>
        <w:rPr>
          <w:sz w:val="18"/>
          <w:lang w:val="el-GR"/>
        </w:rPr>
      </w:pPr>
      <w:r w:rsidRPr="00812069">
        <w:rPr>
          <w:b/>
          <w:sz w:val="18"/>
          <w:lang w:val="el-GR"/>
        </w:rPr>
        <w:t>Πηγ</w:t>
      </w:r>
      <w:r>
        <w:rPr>
          <w:b/>
          <w:sz w:val="18"/>
          <w:lang w:val="el-GR"/>
        </w:rPr>
        <w:t>ές</w:t>
      </w:r>
      <w:r w:rsidRPr="00812069">
        <w:rPr>
          <w:b/>
          <w:sz w:val="18"/>
          <w:lang w:val="el-GR"/>
        </w:rPr>
        <w:t xml:space="preserve">: </w:t>
      </w:r>
      <w:proofErr w:type="spellStart"/>
      <w:r w:rsidR="005B005E" w:rsidRPr="005B005E">
        <w:rPr>
          <w:bCs/>
          <w:sz w:val="18"/>
          <w:lang w:val="el-GR"/>
        </w:rPr>
        <w:t>ΤτΕ</w:t>
      </w:r>
      <w:proofErr w:type="spellEnd"/>
      <w:r w:rsidR="005B005E" w:rsidRPr="005B005E">
        <w:rPr>
          <w:bCs/>
          <w:sz w:val="18"/>
          <w:lang w:val="el-GR"/>
        </w:rPr>
        <w:t xml:space="preserve">, </w:t>
      </w:r>
      <w:r w:rsidR="00A03E8A" w:rsidRPr="00A03E8A">
        <w:rPr>
          <w:sz w:val="18"/>
          <w:lang w:val="el-GR"/>
        </w:rPr>
        <w:t>ΕΚΤ</w:t>
      </w:r>
      <w:r w:rsidR="00B77913">
        <w:rPr>
          <w:sz w:val="18"/>
          <w:lang w:val="el-GR"/>
        </w:rPr>
        <w:t>.</w:t>
      </w:r>
      <w:r>
        <w:rPr>
          <w:rFonts w:ascii="Calibri" w:hAnsi="Calibri" w:cs="Calibri"/>
          <w:color w:val="000000" w:themeColor="text1"/>
          <w:kern w:val="24"/>
          <w:sz w:val="20"/>
          <w:szCs w:val="20"/>
          <w:lang w:val="el-GR"/>
        </w:rPr>
        <w:t xml:space="preserve"> </w:t>
      </w:r>
      <w:r w:rsidRPr="00812069">
        <w:rPr>
          <w:b/>
          <w:sz w:val="18"/>
          <w:lang w:val="el-GR"/>
        </w:rPr>
        <w:t>Επεξεργασία στοιχείων:</w:t>
      </w:r>
      <w:r w:rsidRPr="00812069">
        <w:rPr>
          <w:sz w:val="18"/>
          <w:lang w:val="el-GR"/>
        </w:rPr>
        <w:t xml:space="preserve"> ΙΟΒΕ</w:t>
      </w:r>
      <w:r>
        <w:rPr>
          <w:sz w:val="18"/>
          <w:lang w:val="el-GR"/>
        </w:rPr>
        <w:t xml:space="preserve">. </w:t>
      </w:r>
      <w:r w:rsidRPr="00682CC0">
        <w:rPr>
          <w:b/>
          <w:bCs/>
          <w:sz w:val="18"/>
          <w:lang w:val="el-GR"/>
        </w:rPr>
        <w:t>Σημείωση</w:t>
      </w:r>
      <w:r w:rsidRPr="00682CC0">
        <w:rPr>
          <w:sz w:val="18"/>
          <w:lang w:val="el-GR"/>
        </w:rPr>
        <w:t xml:space="preserve">: </w:t>
      </w:r>
      <w:r w:rsidR="00A03E8A" w:rsidRPr="00A03E8A">
        <w:rPr>
          <w:sz w:val="18"/>
          <w:lang w:val="el-GR"/>
        </w:rPr>
        <w:t>Τα στοιχεία αφορούν εγχώριες κάρτες.</w:t>
      </w:r>
    </w:p>
    <w:p w14:paraId="203A8577" w14:textId="46B57F94" w:rsidR="004E1C22" w:rsidRPr="00FE1048" w:rsidRDefault="00774500" w:rsidP="00CF0530">
      <w:pPr>
        <w:jc w:val="both"/>
        <w:rPr>
          <w:b/>
          <w:bCs/>
          <w:color w:val="000000" w:themeColor="text1"/>
          <w:lang w:val="el-GR"/>
        </w:rPr>
      </w:pPr>
      <w:r>
        <w:rPr>
          <w:b/>
          <w:bCs/>
          <w:color w:val="000000" w:themeColor="text1"/>
          <w:lang w:val="el-GR"/>
        </w:rPr>
        <w:t>Τ</w:t>
      </w:r>
      <w:r w:rsidRPr="00774500">
        <w:rPr>
          <w:b/>
          <w:bCs/>
          <w:color w:val="000000" w:themeColor="text1"/>
          <w:lang w:val="el-GR"/>
        </w:rPr>
        <w:t>άσεις στις συνήθειες πληρωμών</w:t>
      </w:r>
      <w:r w:rsidR="00FE1048" w:rsidRPr="00FE1048">
        <w:rPr>
          <w:b/>
          <w:bCs/>
          <w:color w:val="000000" w:themeColor="text1"/>
          <w:lang w:val="el-GR"/>
        </w:rPr>
        <w:t xml:space="preserve"> </w:t>
      </w:r>
      <w:r w:rsidR="00FE1048">
        <w:rPr>
          <w:b/>
          <w:bCs/>
          <w:color w:val="000000" w:themeColor="text1"/>
          <w:lang w:val="el-GR"/>
        </w:rPr>
        <w:t>με κ</w:t>
      </w:r>
      <w:r w:rsidR="00661175">
        <w:rPr>
          <w:b/>
          <w:bCs/>
          <w:color w:val="000000" w:themeColor="text1"/>
          <w:lang w:val="el-GR"/>
        </w:rPr>
        <w:t>άρτα</w:t>
      </w:r>
    </w:p>
    <w:p w14:paraId="7F266903" w14:textId="7952B512" w:rsidR="001D6C86" w:rsidRDefault="00774500" w:rsidP="00CF0530">
      <w:pPr>
        <w:jc w:val="bot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Ο</w:t>
      </w:r>
      <w:r w:rsidR="00CF0530">
        <w:rPr>
          <w:color w:val="000000" w:themeColor="text1"/>
          <w:lang w:val="el-GR"/>
        </w:rPr>
        <w:t>ι</w:t>
      </w:r>
      <w:r w:rsidR="00CF0530" w:rsidRPr="009437AE">
        <w:rPr>
          <w:color w:val="000000" w:themeColor="text1"/>
          <w:lang w:val="el-GR"/>
        </w:rPr>
        <w:t xml:space="preserve"> </w:t>
      </w:r>
      <w:r w:rsidR="00CF0530" w:rsidRPr="00CF0530">
        <w:rPr>
          <w:b/>
          <w:bCs/>
          <w:color w:val="000000" w:themeColor="text1"/>
          <w:lang w:val="el-GR"/>
        </w:rPr>
        <w:t>διαδικτυακές πληρωμές</w:t>
      </w:r>
      <w:r w:rsidR="00CF0530" w:rsidRPr="009437AE">
        <w:rPr>
          <w:color w:val="000000" w:themeColor="text1"/>
          <w:lang w:val="el-GR"/>
        </w:rPr>
        <w:t xml:space="preserve"> </w:t>
      </w:r>
      <w:r w:rsidR="00CF0530">
        <w:rPr>
          <w:color w:val="000000" w:themeColor="text1"/>
          <w:lang w:val="el-GR"/>
        </w:rPr>
        <w:t xml:space="preserve">ενισχύθηκαν </w:t>
      </w:r>
      <w:r w:rsidR="00CC40A1">
        <w:rPr>
          <w:color w:val="000000" w:themeColor="text1"/>
          <w:lang w:val="el-GR"/>
        </w:rPr>
        <w:t>όχι μόνο κατά τη διάρκεια αλλά και μετά την πανδημία</w:t>
      </w:r>
      <w:r w:rsidR="00CF0530">
        <w:rPr>
          <w:color w:val="000000" w:themeColor="text1"/>
          <w:lang w:val="el-GR"/>
        </w:rPr>
        <w:t>. Ενδεικτικά, τ</w:t>
      </w:r>
      <w:r w:rsidR="009437AE" w:rsidRPr="009437AE">
        <w:rPr>
          <w:color w:val="000000" w:themeColor="text1"/>
          <w:lang w:val="el-GR"/>
        </w:rPr>
        <w:t xml:space="preserve">ο μερίδιο των διαδικτυακών συναλλαγών έναντι των συναλλαγών με φυσική παρουσία αυξήθηκε από λιγότερο από 1:5 σε περίπου 1:3 </w:t>
      </w:r>
      <w:r w:rsidR="00CC40A1">
        <w:rPr>
          <w:color w:val="000000" w:themeColor="text1"/>
          <w:lang w:val="el-GR"/>
        </w:rPr>
        <w:t xml:space="preserve">κατά </w:t>
      </w:r>
      <w:r w:rsidR="009437AE" w:rsidRPr="009437AE">
        <w:rPr>
          <w:color w:val="000000" w:themeColor="text1"/>
          <w:lang w:val="el-GR"/>
        </w:rPr>
        <w:t>την πανδημία</w:t>
      </w:r>
      <w:r w:rsidR="00CC40A1">
        <w:rPr>
          <w:color w:val="000000" w:themeColor="text1"/>
          <w:lang w:val="el-GR"/>
        </w:rPr>
        <w:t xml:space="preserve"> και 1:2 μετά την πανδημία</w:t>
      </w:r>
      <w:r w:rsidR="00CF0530">
        <w:rPr>
          <w:color w:val="000000" w:themeColor="text1"/>
          <w:lang w:val="el-GR"/>
        </w:rPr>
        <w:t xml:space="preserve">. </w:t>
      </w:r>
    </w:p>
    <w:p w14:paraId="06FE2FEE" w14:textId="249242DA" w:rsidR="00CF0530" w:rsidRDefault="00CF0530" w:rsidP="00CF0530">
      <w:pPr>
        <w:jc w:val="both"/>
        <w:rPr>
          <w:color w:val="000000" w:themeColor="text1"/>
          <w:lang w:val="el-GR"/>
        </w:rPr>
      </w:pPr>
      <w:r w:rsidRPr="009437AE">
        <w:rPr>
          <w:color w:val="000000" w:themeColor="text1"/>
          <w:lang w:val="el-GR"/>
        </w:rPr>
        <w:t>Οι καταναλωτές επεκτείνουν τη χρήση πλαστικού χρήματος</w:t>
      </w:r>
      <w:r w:rsidR="000A2DC6" w:rsidRPr="000A2DC6">
        <w:rPr>
          <w:color w:val="000000" w:themeColor="text1"/>
          <w:lang w:val="el-GR"/>
        </w:rPr>
        <w:t xml:space="preserve"> </w:t>
      </w:r>
      <w:r w:rsidR="000A2DC6" w:rsidRPr="009437AE">
        <w:rPr>
          <w:color w:val="000000" w:themeColor="text1"/>
          <w:lang w:val="el-GR"/>
        </w:rPr>
        <w:t>με φυσική παρουσία</w:t>
      </w:r>
      <w:r w:rsidRPr="009437AE">
        <w:rPr>
          <w:color w:val="000000" w:themeColor="text1"/>
          <w:lang w:val="el-GR"/>
        </w:rPr>
        <w:t xml:space="preserve"> για </w:t>
      </w:r>
      <w:r w:rsidRPr="00CF0530">
        <w:rPr>
          <w:b/>
          <w:bCs/>
          <w:color w:val="000000" w:themeColor="text1"/>
          <w:lang w:val="el-GR"/>
        </w:rPr>
        <w:t>συναλλαγές μικρότερης</w:t>
      </w:r>
      <w:r w:rsidRPr="009437AE">
        <w:rPr>
          <w:b/>
          <w:bCs/>
          <w:color w:val="000000" w:themeColor="text1"/>
          <w:lang w:val="el-GR"/>
        </w:rPr>
        <w:t xml:space="preserve"> </w:t>
      </w:r>
      <w:r w:rsidR="00AF211B">
        <w:rPr>
          <w:b/>
          <w:bCs/>
          <w:color w:val="000000" w:themeColor="text1"/>
          <w:lang w:val="el-GR"/>
        </w:rPr>
        <w:t xml:space="preserve">μέσης </w:t>
      </w:r>
      <w:r w:rsidRPr="009437AE">
        <w:rPr>
          <w:b/>
          <w:bCs/>
          <w:color w:val="000000" w:themeColor="text1"/>
          <w:lang w:val="el-GR"/>
        </w:rPr>
        <w:t>αξίας</w:t>
      </w:r>
      <w:r w:rsidR="00AF211B">
        <w:rPr>
          <w:color w:val="000000" w:themeColor="text1"/>
          <w:lang w:val="el-GR"/>
        </w:rPr>
        <w:t>, αλλά υψηλότερης μέσης αξίας διαδικτυακά</w:t>
      </w:r>
      <w:r>
        <w:rPr>
          <w:color w:val="000000" w:themeColor="text1"/>
          <w:lang w:val="el-GR"/>
        </w:rPr>
        <w:t xml:space="preserve">. </w:t>
      </w:r>
      <w:r w:rsidR="00AF211B" w:rsidRPr="009437AE">
        <w:rPr>
          <w:color w:val="000000" w:themeColor="text1"/>
          <w:lang w:val="el-GR"/>
        </w:rPr>
        <w:t>Η αξία των εγχώριων πληρωμών μέσω ελληνικών καρτών ξεπέρασε για πρώτη φορά το 2022 το αντίστοιχο σύνολο των αναλήψεων μετρητών</w:t>
      </w:r>
      <w:r w:rsidR="00AF211B">
        <w:rPr>
          <w:color w:val="000000" w:themeColor="text1"/>
          <w:lang w:val="el-GR"/>
        </w:rPr>
        <w:t>, με τη σχετική αναλογία να παραμένει σχετικά μοιρασμένη έκτοτε</w:t>
      </w:r>
      <w:r>
        <w:rPr>
          <w:color w:val="000000" w:themeColor="text1"/>
          <w:lang w:val="el-GR"/>
        </w:rPr>
        <w:t>.</w:t>
      </w:r>
    </w:p>
    <w:p w14:paraId="6081653F" w14:textId="72B720D2" w:rsidR="009437AE" w:rsidRDefault="00CF0530" w:rsidP="00CF0530">
      <w:pPr>
        <w:tabs>
          <w:tab w:val="num" w:pos="720"/>
        </w:tabs>
        <w:jc w:val="bot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 xml:space="preserve">Αν και </w:t>
      </w:r>
      <w:r w:rsidR="00AF211B">
        <w:rPr>
          <w:color w:val="000000" w:themeColor="text1"/>
          <w:lang w:val="el-GR"/>
        </w:rPr>
        <w:t>ο βαθμός χρήσης</w:t>
      </w:r>
      <w:r>
        <w:rPr>
          <w:color w:val="000000" w:themeColor="text1"/>
          <w:lang w:val="el-GR"/>
        </w:rPr>
        <w:t xml:space="preserve"> ψηφιακών πληρωμών </w:t>
      </w:r>
      <w:r w:rsidR="00AF211B">
        <w:rPr>
          <w:color w:val="000000" w:themeColor="text1"/>
          <w:lang w:val="el-GR"/>
        </w:rPr>
        <w:t xml:space="preserve">με φυσική παρουσία </w:t>
      </w:r>
      <w:r>
        <w:rPr>
          <w:color w:val="000000" w:themeColor="text1"/>
          <w:lang w:val="el-GR"/>
        </w:rPr>
        <w:t>είναι αναλογικά εντονότερ</w:t>
      </w:r>
      <w:r w:rsidR="00AF211B">
        <w:rPr>
          <w:color w:val="000000" w:themeColor="text1"/>
          <w:lang w:val="el-GR"/>
        </w:rPr>
        <w:t>ος</w:t>
      </w:r>
      <w:r>
        <w:rPr>
          <w:color w:val="000000" w:themeColor="text1"/>
          <w:lang w:val="el-GR"/>
        </w:rPr>
        <w:t xml:space="preserve"> για </w:t>
      </w:r>
      <w:r w:rsidRPr="003B0CA7">
        <w:rPr>
          <w:b/>
          <w:bCs/>
          <w:color w:val="000000" w:themeColor="text1"/>
          <w:lang w:val="el-GR"/>
        </w:rPr>
        <w:t>αγορές αγαθών σε σχέση με υπηρεσίες</w:t>
      </w:r>
      <w:r>
        <w:rPr>
          <w:color w:val="000000" w:themeColor="text1"/>
          <w:lang w:val="el-GR"/>
        </w:rPr>
        <w:t>, η</w:t>
      </w:r>
      <w:r w:rsidR="009437AE" w:rsidRPr="009437AE">
        <w:rPr>
          <w:color w:val="000000" w:themeColor="text1"/>
          <w:lang w:val="el-GR"/>
        </w:rPr>
        <w:t xml:space="preserve"> πρόσφατη επέκταση των πληρωμών με κάρτες ήταν ισχυρότερη στις υπηρεσίες σε σύγκριση με τα αγαθά, μειώνοντας έτσι το χάσμα του </w:t>
      </w:r>
      <w:r>
        <w:rPr>
          <w:color w:val="000000" w:themeColor="text1"/>
          <w:lang w:val="el-GR"/>
        </w:rPr>
        <w:t xml:space="preserve">σχετικού </w:t>
      </w:r>
      <w:r w:rsidR="009437AE" w:rsidRPr="009437AE">
        <w:rPr>
          <w:color w:val="000000" w:themeColor="text1"/>
          <w:lang w:val="el-GR"/>
        </w:rPr>
        <w:t xml:space="preserve">μείγματος χρήσης. </w:t>
      </w:r>
      <w:r w:rsidR="00AF211B">
        <w:rPr>
          <w:color w:val="000000" w:themeColor="text1"/>
          <w:lang w:val="el-GR"/>
        </w:rPr>
        <w:t>Άνω του</w:t>
      </w:r>
      <w:r w:rsidR="009437AE" w:rsidRPr="009437AE">
        <w:rPr>
          <w:color w:val="000000" w:themeColor="text1"/>
          <w:lang w:val="el-GR"/>
        </w:rPr>
        <w:t xml:space="preserve"> 40% της χρήσης </w:t>
      </w:r>
      <w:r>
        <w:rPr>
          <w:color w:val="000000" w:themeColor="text1"/>
          <w:lang w:val="el-GR"/>
        </w:rPr>
        <w:t xml:space="preserve">ψηφιακών πληρωμών </w:t>
      </w:r>
      <w:r w:rsidR="009437AE" w:rsidRPr="009437AE">
        <w:rPr>
          <w:color w:val="000000" w:themeColor="text1"/>
          <w:lang w:val="el-GR"/>
        </w:rPr>
        <w:t>αφορά πλέον υπηρεσίες σε σύγκριση με</w:t>
      </w:r>
      <w:r>
        <w:rPr>
          <w:color w:val="000000" w:themeColor="text1"/>
          <w:lang w:val="el-GR"/>
        </w:rPr>
        <w:t xml:space="preserve"> </w:t>
      </w:r>
      <w:r w:rsidR="009437AE" w:rsidRPr="009437AE">
        <w:rPr>
          <w:color w:val="000000" w:themeColor="text1"/>
          <w:lang w:val="el-GR"/>
        </w:rPr>
        <w:t>λιγότερο από 20% το 2015</w:t>
      </w:r>
      <w:r>
        <w:rPr>
          <w:color w:val="000000" w:themeColor="text1"/>
          <w:lang w:val="el-GR"/>
        </w:rPr>
        <w:t>, ενώ το μερίδιο υπηρεσιών στη συνολική καταναλωτική δαπάνη των νοικοκυριών αγγίζει το 45%</w:t>
      </w:r>
      <w:r w:rsidR="009437AE" w:rsidRPr="009437AE">
        <w:rPr>
          <w:color w:val="000000" w:themeColor="text1"/>
          <w:lang w:val="el-GR"/>
        </w:rPr>
        <w:t>.</w:t>
      </w:r>
      <w:r>
        <w:rPr>
          <w:color w:val="000000" w:themeColor="text1"/>
          <w:lang w:val="el-GR"/>
        </w:rPr>
        <w:t xml:space="preserve"> </w:t>
      </w:r>
      <w:r w:rsidR="0041159A">
        <w:rPr>
          <w:color w:val="000000" w:themeColor="text1"/>
          <w:lang w:val="el-GR"/>
        </w:rPr>
        <w:t xml:space="preserve">Οι υπηρεσίες </w:t>
      </w:r>
      <w:r w:rsidR="009437AE" w:rsidRPr="009437AE">
        <w:rPr>
          <w:color w:val="000000" w:themeColor="text1"/>
          <w:lang w:val="el-GR"/>
        </w:rPr>
        <w:t xml:space="preserve">κυριαρχούν στις </w:t>
      </w:r>
      <w:r>
        <w:rPr>
          <w:color w:val="000000" w:themeColor="text1"/>
          <w:lang w:val="el-GR"/>
        </w:rPr>
        <w:t>διαδικτυακές</w:t>
      </w:r>
      <w:r w:rsidR="009437AE" w:rsidRPr="009437AE">
        <w:rPr>
          <w:color w:val="000000" w:themeColor="text1"/>
          <w:lang w:val="el-GR"/>
        </w:rPr>
        <w:t xml:space="preserve"> συναλλαγές.</w:t>
      </w:r>
    </w:p>
    <w:p w14:paraId="24AC9607" w14:textId="38DA506C" w:rsidR="00F668CE" w:rsidRPr="00C5631C" w:rsidRDefault="00F668CE" w:rsidP="00CF0530">
      <w:pPr>
        <w:tabs>
          <w:tab w:val="num" w:pos="720"/>
        </w:tabs>
        <w:jc w:val="both"/>
        <w:rPr>
          <w:b/>
          <w:bCs/>
          <w:color w:val="000000" w:themeColor="text1"/>
          <w:lang w:val="el-GR"/>
        </w:rPr>
      </w:pPr>
      <w:r w:rsidRPr="00C5631C">
        <w:rPr>
          <w:b/>
          <w:bCs/>
          <w:color w:val="000000" w:themeColor="text1"/>
          <w:lang w:val="el-GR"/>
        </w:rPr>
        <w:t>Σημαντική επίδραση στα φορολογικά έσοδα</w:t>
      </w:r>
    </w:p>
    <w:p w14:paraId="5B5D8ECF" w14:textId="77777777" w:rsidR="00F668CE" w:rsidRDefault="00853EFE" w:rsidP="00CF0530">
      <w:pPr>
        <w:jc w:val="bot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 xml:space="preserve">Εξετάζοντας τις 27 χώρες της ΕΕ, αναδεικνύεται ότι υψηλότερη </w:t>
      </w:r>
      <w:r w:rsidRPr="00853EFE">
        <w:rPr>
          <w:color w:val="000000" w:themeColor="text1"/>
          <w:lang w:val="el-GR"/>
        </w:rPr>
        <w:t xml:space="preserve">χρήση καρτών πληρωμής και </w:t>
      </w:r>
      <w:r>
        <w:rPr>
          <w:color w:val="000000" w:themeColor="text1"/>
          <w:lang w:val="el-GR"/>
        </w:rPr>
        <w:t xml:space="preserve">χαμηλότερο μερίδιο ανάληψης </w:t>
      </w:r>
      <w:r w:rsidRPr="00853EFE">
        <w:rPr>
          <w:color w:val="000000" w:themeColor="text1"/>
          <w:lang w:val="el-GR"/>
        </w:rPr>
        <w:t>μετρητών σχετίζονται με μικρότερ</w:t>
      </w:r>
      <w:r>
        <w:rPr>
          <w:color w:val="000000" w:themeColor="text1"/>
          <w:lang w:val="el-GR"/>
        </w:rPr>
        <w:t xml:space="preserve">η απώλεια εσόδων («κενό») </w:t>
      </w:r>
      <w:r w:rsidRPr="00853EFE">
        <w:rPr>
          <w:color w:val="000000" w:themeColor="text1"/>
          <w:lang w:val="el-GR"/>
        </w:rPr>
        <w:t>ΦΠΑ.</w:t>
      </w:r>
      <w:r>
        <w:rPr>
          <w:color w:val="000000" w:themeColor="text1"/>
          <w:lang w:val="el-GR"/>
        </w:rPr>
        <w:t xml:space="preserve"> Στην Ελλάδα, η</w:t>
      </w:r>
      <w:r w:rsidR="003B0CA7" w:rsidRPr="003B0CA7">
        <w:rPr>
          <w:color w:val="000000" w:themeColor="text1"/>
          <w:lang w:val="el-GR"/>
        </w:rPr>
        <w:t xml:space="preserve"> </w:t>
      </w:r>
      <w:r>
        <w:rPr>
          <w:color w:val="000000" w:themeColor="text1"/>
          <w:lang w:val="el-GR"/>
        </w:rPr>
        <w:t>συνεχιζόμενη εξάπλωση</w:t>
      </w:r>
      <w:r w:rsidR="003B0CA7" w:rsidRPr="003B0CA7">
        <w:rPr>
          <w:color w:val="000000" w:themeColor="text1"/>
          <w:lang w:val="el-GR"/>
        </w:rPr>
        <w:t xml:space="preserve"> των ψηφιακών πληρωμών </w:t>
      </w:r>
      <w:r>
        <w:rPr>
          <w:color w:val="000000" w:themeColor="text1"/>
          <w:lang w:val="el-GR"/>
        </w:rPr>
        <w:t>εξακολουθεί</w:t>
      </w:r>
      <w:r w:rsidR="003B0CA7">
        <w:rPr>
          <w:color w:val="000000" w:themeColor="text1"/>
          <w:lang w:val="el-GR"/>
        </w:rPr>
        <w:t xml:space="preserve"> να </w:t>
      </w:r>
      <w:r w:rsidR="003B0CA7" w:rsidRPr="003B0CA7">
        <w:rPr>
          <w:color w:val="000000" w:themeColor="text1"/>
          <w:lang w:val="el-GR"/>
        </w:rPr>
        <w:t xml:space="preserve">έχει </w:t>
      </w:r>
      <w:r w:rsidR="003B0CA7" w:rsidRPr="003B0CA7">
        <w:rPr>
          <w:b/>
          <w:bCs/>
          <w:color w:val="000000" w:themeColor="text1"/>
          <w:lang w:val="el-GR"/>
        </w:rPr>
        <w:t>σημαντική θετική επίδραση στα φορολογικά έσοδα</w:t>
      </w:r>
      <w:r w:rsidR="008553E0">
        <w:rPr>
          <w:color w:val="000000" w:themeColor="text1"/>
          <w:lang w:val="el-GR"/>
        </w:rPr>
        <w:t xml:space="preserve">, ενώ </w:t>
      </w:r>
      <w:r w:rsidR="008553E0" w:rsidRPr="0041159A">
        <w:rPr>
          <w:color w:val="000000" w:themeColor="text1"/>
          <w:lang w:val="el-GR"/>
        </w:rPr>
        <w:t>η</w:t>
      </w:r>
      <w:r w:rsidR="008553E0">
        <w:rPr>
          <w:color w:val="000000" w:themeColor="text1"/>
          <w:lang w:val="el-GR"/>
        </w:rPr>
        <w:t xml:space="preserve"> σχέση φαίνεται να ενισχύθηκε το 2024, μετά τη</w:t>
      </w:r>
      <w:r w:rsidR="008553E0" w:rsidRPr="0041159A">
        <w:rPr>
          <w:color w:val="000000" w:themeColor="text1"/>
          <w:lang w:val="el-GR"/>
        </w:rPr>
        <w:t xml:space="preserve"> </w:t>
      </w:r>
      <w:r w:rsidR="008553E0">
        <w:rPr>
          <w:color w:val="000000" w:themeColor="text1"/>
          <w:lang w:val="el-GR"/>
        </w:rPr>
        <w:t>δια</w:t>
      </w:r>
      <w:r w:rsidR="008553E0" w:rsidRPr="0041159A">
        <w:rPr>
          <w:color w:val="000000" w:themeColor="text1"/>
          <w:lang w:val="el-GR"/>
        </w:rPr>
        <w:t xml:space="preserve">σύνδεση των τερματικών </w:t>
      </w:r>
      <w:r w:rsidR="008553E0" w:rsidRPr="0041159A">
        <w:rPr>
          <w:color w:val="000000" w:themeColor="text1"/>
        </w:rPr>
        <w:t>POS</w:t>
      </w:r>
      <w:r w:rsidR="008553E0" w:rsidRPr="0041159A">
        <w:rPr>
          <w:color w:val="000000" w:themeColor="text1"/>
          <w:lang w:val="el-GR"/>
        </w:rPr>
        <w:t xml:space="preserve"> με τις φορολογικές αρχές</w:t>
      </w:r>
      <w:r w:rsidR="009437AE" w:rsidRPr="009437AE">
        <w:rPr>
          <w:color w:val="000000" w:themeColor="text1"/>
          <w:lang w:val="el-GR"/>
        </w:rPr>
        <w:t>.</w:t>
      </w:r>
      <w:r w:rsidR="00CF0530">
        <w:rPr>
          <w:color w:val="000000" w:themeColor="text1"/>
          <w:lang w:val="el-GR"/>
        </w:rPr>
        <w:t xml:space="preserve"> </w:t>
      </w:r>
    </w:p>
    <w:p w14:paraId="65BC1845" w14:textId="7B2F29A5" w:rsidR="008553E0" w:rsidRDefault="009437AE" w:rsidP="00CF0530">
      <w:pPr>
        <w:jc w:val="both"/>
        <w:rPr>
          <w:color w:val="000000" w:themeColor="text1"/>
          <w:lang w:val="el-GR"/>
        </w:rPr>
      </w:pPr>
      <w:r w:rsidRPr="009437AE">
        <w:rPr>
          <w:color w:val="000000" w:themeColor="text1"/>
          <w:lang w:val="el-GR"/>
        </w:rPr>
        <w:lastRenderedPageBreak/>
        <w:t xml:space="preserve">Η θετική </w:t>
      </w:r>
      <w:r w:rsidR="00CF0530">
        <w:rPr>
          <w:color w:val="000000" w:themeColor="text1"/>
          <w:lang w:val="el-GR"/>
        </w:rPr>
        <w:t>επίδραση</w:t>
      </w:r>
      <w:r w:rsidRPr="009437AE">
        <w:rPr>
          <w:color w:val="000000" w:themeColor="text1"/>
          <w:lang w:val="el-GR"/>
        </w:rPr>
        <w:t xml:space="preserve"> της επέκτασης των πληρωμών με κάρτες </w:t>
      </w:r>
      <w:r w:rsidR="003B0CA7">
        <w:rPr>
          <w:color w:val="000000" w:themeColor="text1"/>
          <w:lang w:val="el-GR"/>
        </w:rPr>
        <w:t>σ</w:t>
      </w:r>
      <w:r w:rsidRPr="009437AE">
        <w:rPr>
          <w:color w:val="000000" w:themeColor="text1"/>
          <w:lang w:val="el-GR"/>
        </w:rPr>
        <w:t xml:space="preserve">τα έσοδα από ΦΠΑ </w:t>
      </w:r>
      <w:r w:rsidR="008553E0">
        <w:rPr>
          <w:color w:val="000000" w:themeColor="text1"/>
          <w:lang w:val="el-GR"/>
        </w:rPr>
        <w:t xml:space="preserve">για το 2024 </w:t>
      </w:r>
      <w:r w:rsidRPr="009437AE">
        <w:rPr>
          <w:color w:val="000000" w:themeColor="text1"/>
          <w:lang w:val="el-GR"/>
        </w:rPr>
        <w:t xml:space="preserve">εκτιμάται σε </w:t>
      </w:r>
      <w:r w:rsidR="008553E0">
        <w:rPr>
          <w:color w:val="000000" w:themeColor="text1"/>
          <w:lang w:val="el-GR"/>
        </w:rPr>
        <w:t>τουλάχιστον</w:t>
      </w:r>
      <w:r w:rsidRPr="009437AE">
        <w:rPr>
          <w:color w:val="000000" w:themeColor="text1"/>
          <w:lang w:val="el-GR"/>
        </w:rPr>
        <w:t xml:space="preserve"> </w:t>
      </w:r>
      <w:r w:rsidR="0041159A">
        <w:rPr>
          <w:color w:val="000000" w:themeColor="text1"/>
          <w:lang w:val="el-GR"/>
        </w:rPr>
        <w:t>4</w:t>
      </w:r>
      <w:r w:rsidRPr="009437AE">
        <w:rPr>
          <w:color w:val="000000" w:themeColor="text1"/>
          <w:lang w:val="el-GR"/>
        </w:rPr>
        <w:t>00 εκατ. ευρώ</w:t>
      </w:r>
      <w:r w:rsidR="00CF0530">
        <w:rPr>
          <w:color w:val="000000" w:themeColor="text1"/>
          <w:lang w:val="el-GR"/>
        </w:rPr>
        <w:t xml:space="preserve">. </w:t>
      </w:r>
      <w:r w:rsidR="00CF0530" w:rsidRPr="009437AE">
        <w:rPr>
          <w:color w:val="000000" w:themeColor="text1"/>
          <w:lang w:val="el-GR"/>
        </w:rPr>
        <w:t>Κ</w:t>
      </w:r>
      <w:r w:rsidR="008553E0">
        <w:rPr>
          <w:color w:val="000000" w:themeColor="text1"/>
          <w:lang w:val="el-GR"/>
        </w:rPr>
        <w:t>αι αυτό καθώς κά</w:t>
      </w:r>
      <w:r w:rsidR="00CF0530" w:rsidRPr="009437AE">
        <w:rPr>
          <w:color w:val="000000" w:themeColor="text1"/>
          <w:lang w:val="el-GR"/>
        </w:rPr>
        <w:t>θε 10 ευρώ νέων δαπανών με κάρτες το 202</w:t>
      </w:r>
      <w:r w:rsidR="008553E0">
        <w:rPr>
          <w:color w:val="000000" w:themeColor="text1"/>
          <w:lang w:val="el-GR"/>
        </w:rPr>
        <w:t>4</w:t>
      </w:r>
      <w:r w:rsidR="00CF0530" w:rsidRPr="009437AE">
        <w:rPr>
          <w:color w:val="000000" w:themeColor="text1"/>
          <w:lang w:val="el-GR"/>
        </w:rPr>
        <w:t xml:space="preserve"> </w:t>
      </w:r>
      <w:r w:rsidR="00CF0530">
        <w:rPr>
          <w:color w:val="000000" w:themeColor="text1"/>
          <w:lang w:val="el-GR"/>
        </w:rPr>
        <w:t>εκτιμάται ότι αφορούσε</w:t>
      </w:r>
      <w:r w:rsidR="00CF0530" w:rsidRPr="009437AE">
        <w:rPr>
          <w:color w:val="000000" w:themeColor="text1"/>
          <w:lang w:val="el-GR"/>
        </w:rPr>
        <w:t xml:space="preserve"> κατά μέσο όρο </w:t>
      </w:r>
      <w:r w:rsidR="008553E0">
        <w:rPr>
          <w:color w:val="000000" w:themeColor="text1"/>
          <w:lang w:val="el-GR"/>
        </w:rPr>
        <w:t>τουλάχιστον</w:t>
      </w:r>
      <w:r w:rsidR="00CF0530" w:rsidRPr="009437AE">
        <w:rPr>
          <w:color w:val="000000" w:themeColor="text1"/>
          <w:lang w:val="el-GR"/>
        </w:rPr>
        <w:t xml:space="preserve"> 0,</w:t>
      </w:r>
      <w:r w:rsidR="0041159A">
        <w:rPr>
          <w:color w:val="000000" w:themeColor="text1"/>
          <w:lang w:val="el-GR"/>
        </w:rPr>
        <w:t>5</w:t>
      </w:r>
      <w:r w:rsidR="00CF0530" w:rsidRPr="009437AE">
        <w:rPr>
          <w:color w:val="000000" w:themeColor="text1"/>
          <w:lang w:val="el-GR"/>
        </w:rPr>
        <w:t xml:space="preserve"> ευρώ προηγουμένως αδήλωτων εσόδων ΦΠΑ.</w:t>
      </w:r>
      <w:r w:rsidR="003B0CA7">
        <w:rPr>
          <w:color w:val="000000" w:themeColor="text1"/>
          <w:lang w:val="el-GR"/>
        </w:rPr>
        <w:t xml:space="preserve"> </w:t>
      </w:r>
    </w:p>
    <w:p w14:paraId="236EC4B7" w14:textId="2790EB51" w:rsidR="00F668CE" w:rsidRPr="00C5631C" w:rsidRDefault="00F668CE" w:rsidP="008553E0">
      <w:pPr>
        <w:jc w:val="both"/>
        <w:rPr>
          <w:b/>
          <w:bCs/>
          <w:color w:val="000000" w:themeColor="text1"/>
          <w:lang w:val="el-GR"/>
        </w:rPr>
      </w:pPr>
      <w:r w:rsidRPr="00C5631C">
        <w:rPr>
          <w:b/>
          <w:bCs/>
          <w:color w:val="000000" w:themeColor="text1"/>
          <w:lang w:val="el-GR"/>
        </w:rPr>
        <w:t>Οι κλάδοι με τις μεγαλύτερες συναλλαγές καρτών</w:t>
      </w:r>
    </w:p>
    <w:p w14:paraId="4CBD4ED7" w14:textId="5337EC3D" w:rsidR="00F668CE" w:rsidRDefault="008553E0" w:rsidP="008553E0">
      <w:pPr>
        <w:jc w:val="both"/>
        <w:rPr>
          <w:color w:val="000000" w:themeColor="text1"/>
          <w:lang w:val="el-GR"/>
        </w:rPr>
      </w:pPr>
      <w:r w:rsidRPr="009437AE">
        <w:rPr>
          <w:color w:val="000000" w:themeColor="text1"/>
          <w:lang w:val="el-GR"/>
        </w:rPr>
        <w:t xml:space="preserve">Οι πληρωμές με κάρτες αυξήθηκαν με διαφορετικό ρυθμό </w:t>
      </w:r>
      <w:r w:rsidRPr="00CF0530">
        <w:rPr>
          <w:b/>
          <w:bCs/>
          <w:color w:val="000000" w:themeColor="text1"/>
          <w:lang w:val="el-GR"/>
        </w:rPr>
        <w:t>ανά τομέα και είδος συναλλαγής</w:t>
      </w:r>
      <w:r>
        <w:rPr>
          <w:color w:val="000000" w:themeColor="text1"/>
          <w:lang w:val="el-GR"/>
        </w:rPr>
        <w:t xml:space="preserve">, </w:t>
      </w:r>
      <w:r w:rsidRPr="009437AE">
        <w:rPr>
          <w:color w:val="000000" w:themeColor="text1"/>
          <w:lang w:val="el-GR"/>
        </w:rPr>
        <w:t xml:space="preserve">μετά την </w:t>
      </w:r>
      <w:r>
        <w:rPr>
          <w:color w:val="000000" w:themeColor="text1"/>
          <w:lang w:val="el-GR"/>
        </w:rPr>
        <w:t xml:space="preserve">πανδημία και την εφαρμογή μέτρων σε </w:t>
      </w:r>
      <w:proofErr w:type="spellStart"/>
      <w:r>
        <w:rPr>
          <w:color w:val="000000" w:themeColor="text1"/>
          <w:lang w:val="el-GR"/>
        </w:rPr>
        <w:t>στοχευμένες</w:t>
      </w:r>
      <w:proofErr w:type="spellEnd"/>
      <w:r>
        <w:rPr>
          <w:color w:val="000000" w:themeColor="text1"/>
          <w:lang w:val="el-GR"/>
        </w:rPr>
        <w:t xml:space="preserve"> συναλλαγές (νόμος 4876/2021)</w:t>
      </w:r>
      <w:r w:rsidRPr="009437AE">
        <w:rPr>
          <w:color w:val="000000" w:themeColor="text1"/>
          <w:lang w:val="el-GR"/>
        </w:rPr>
        <w:t>.</w:t>
      </w:r>
      <w:r>
        <w:rPr>
          <w:color w:val="000000" w:themeColor="text1"/>
          <w:lang w:val="el-GR"/>
        </w:rPr>
        <w:t xml:space="preserve"> </w:t>
      </w:r>
      <w:r w:rsidR="00306641">
        <w:rPr>
          <w:color w:val="000000" w:themeColor="text1"/>
          <w:lang w:val="el-GR"/>
        </w:rPr>
        <w:t>Συναλλαγές για υ</w:t>
      </w:r>
      <w:r w:rsidR="00306641" w:rsidRPr="00306641">
        <w:rPr>
          <w:color w:val="000000" w:themeColor="text1"/>
          <w:lang w:val="el-GR"/>
        </w:rPr>
        <w:t xml:space="preserve">πηρεσίες όπως εστιατόρια, μπαρ, παραγγελίες μέσω ταχυδρομείου και υπηρεσίες στοιχημάτων </w:t>
      </w:r>
      <w:r w:rsidR="00306641">
        <w:rPr>
          <w:color w:val="000000" w:themeColor="text1"/>
          <w:lang w:val="el-GR"/>
        </w:rPr>
        <w:t>αύξησαν</w:t>
      </w:r>
      <w:r w:rsidR="00306641" w:rsidRPr="00306641">
        <w:rPr>
          <w:color w:val="000000" w:themeColor="text1"/>
          <w:lang w:val="el-GR"/>
        </w:rPr>
        <w:t xml:space="preserve"> σημαντικά το μερίδιο των δαπανών με κάρτα</w:t>
      </w:r>
      <w:r w:rsidR="00306641">
        <w:rPr>
          <w:color w:val="000000" w:themeColor="text1"/>
          <w:lang w:val="el-GR"/>
        </w:rPr>
        <w:t xml:space="preserve"> την τελευταία διετία</w:t>
      </w:r>
      <w:r w:rsidR="00306641" w:rsidRPr="00306641">
        <w:rPr>
          <w:color w:val="000000" w:themeColor="text1"/>
          <w:lang w:val="el-GR"/>
        </w:rPr>
        <w:t xml:space="preserve">. </w:t>
      </w:r>
    </w:p>
    <w:p w14:paraId="588642A8" w14:textId="17846257" w:rsidR="00306641" w:rsidRDefault="00306641" w:rsidP="008553E0">
      <w:pPr>
        <w:jc w:val="both"/>
        <w:rPr>
          <w:color w:val="000000" w:themeColor="text1"/>
          <w:lang w:val="el-GR"/>
        </w:rPr>
      </w:pPr>
      <w:r w:rsidRPr="00306641">
        <w:rPr>
          <w:color w:val="000000" w:themeColor="text1"/>
          <w:lang w:val="el-GR"/>
        </w:rPr>
        <w:t xml:space="preserve">Ωστόσο, περίπου το 40% της αξίας των πληρωμών με κάρτα </w:t>
      </w:r>
      <w:r>
        <w:rPr>
          <w:color w:val="000000" w:themeColor="text1"/>
          <w:lang w:val="el-GR"/>
        </w:rPr>
        <w:t xml:space="preserve">συνεχίζει να </w:t>
      </w:r>
      <w:r w:rsidRPr="00306641">
        <w:rPr>
          <w:color w:val="000000" w:themeColor="text1"/>
          <w:lang w:val="el-GR"/>
        </w:rPr>
        <w:t xml:space="preserve">πραγματοποιείται σε σούπερ </w:t>
      </w:r>
      <w:proofErr w:type="spellStart"/>
      <w:r w:rsidRPr="00306641">
        <w:rPr>
          <w:color w:val="000000" w:themeColor="text1"/>
          <w:lang w:val="el-GR"/>
        </w:rPr>
        <w:t>μάρκετ</w:t>
      </w:r>
      <w:proofErr w:type="spellEnd"/>
      <w:r w:rsidRPr="00306641">
        <w:rPr>
          <w:color w:val="000000" w:themeColor="text1"/>
          <w:lang w:val="el-GR"/>
        </w:rPr>
        <w:t>, βενζινάδικα και λογαριασμούς κοινής ωφέλειας.</w:t>
      </w:r>
      <w:r>
        <w:rPr>
          <w:color w:val="000000" w:themeColor="text1"/>
          <w:lang w:val="el-GR"/>
        </w:rPr>
        <w:t xml:space="preserve"> </w:t>
      </w:r>
    </w:p>
    <w:p w14:paraId="5085D38A" w14:textId="444B6CEA" w:rsidR="00C54F35" w:rsidRPr="00C5631C" w:rsidRDefault="00C54F35" w:rsidP="00C54F35">
      <w:pPr>
        <w:jc w:val="both"/>
        <w:rPr>
          <w:b/>
          <w:bCs/>
          <w:color w:val="000000" w:themeColor="text1"/>
          <w:lang w:val="el-GR"/>
        </w:rPr>
      </w:pPr>
      <w:r w:rsidRPr="00C5631C">
        <w:rPr>
          <w:b/>
          <w:bCs/>
          <w:color w:val="000000" w:themeColor="text1"/>
          <w:lang w:val="el-GR"/>
        </w:rPr>
        <w:t>Ο βαθμός χρήσης καρτών ως προς την κατανάλωση διαφέρει σημαντικά ανά κλάδο</w:t>
      </w:r>
    </w:p>
    <w:p w14:paraId="53D1024F" w14:textId="6B606C37" w:rsidR="00306641" w:rsidRDefault="00306641" w:rsidP="00306641">
      <w:pPr>
        <w:jc w:val="bot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 xml:space="preserve">Καθώς ορισμένες κατηγορίες πληρωμών έχουν υψηλότερη συσχέτιση με τη φορολογική συμμόρφωση, εξετάζεται ενδεικτικά ο </w:t>
      </w:r>
      <w:r w:rsidRPr="00E72272">
        <w:rPr>
          <w:b/>
          <w:bCs/>
          <w:color w:val="000000" w:themeColor="text1"/>
          <w:lang w:val="el-GR"/>
        </w:rPr>
        <w:t>βαθμός χρήσης καρτών</w:t>
      </w:r>
      <w:r>
        <w:rPr>
          <w:color w:val="000000" w:themeColor="text1"/>
          <w:lang w:val="el-GR"/>
        </w:rPr>
        <w:t xml:space="preserve"> </w:t>
      </w:r>
      <w:r w:rsidRPr="00306641">
        <w:rPr>
          <w:color w:val="000000" w:themeColor="text1"/>
          <w:lang w:val="el-GR"/>
        </w:rPr>
        <w:t xml:space="preserve">σε επιλεγμένους τομείς όπου έχουν ληφθεί πρόσφατα </w:t>
      </w:r>
      <w:proofErr w:type="spellStart"/>
      <w:r w:rsidR="007F6FE1">
        <w:rPr>
          <w:color w:val="000000" w:themeColor="text1"/>
          <w:lang w:val="el-GR"/>
        </w:rPr>
        <w:t>στοχευμένα</w:t>
      </w:r>
      <w:proofErr w:type="spellEnd"/>
      <w:r w:rsidR="007F6FE1">
        <w:rPr>
          <w:color w:val="000000" w:themeColor="text1"/>
          <w:lang w:val="el-GR"/>
        </w:rPr>
        <w:t xml:space="preserve"> </w:t>
      </w:r>
      <w:r w:rsidRPr="00306641">
        <w:rPr>
          <w:color w:val="000000" w:themeColor="text1"/>
          <w:lang w:val="el-GR"/>
        </w:rPr>
        <w:t>μέτρα</w:t>
      </w:r>
      <w:r>
        <w:rPr>
          <w:color w:val="000000" w:themeColor="text1"/>
          <w:lang w:val="el-GR"/>
        </w:rPr>
        <w:t xml:space="preserve">. </w:t>
      </w:r>
      <w:r w:rsidR="007F6FE1">
        <w:rPr>
          <w:color w:val="000000" w:themeColor="text1"/>
          <w:lang w:val="el-GR"/>
        </w:rPr>
        <w:t>Τα αποτελέσματα δείχνουν ότι,</w:t>
      </w:r>
      <w:r>
        <w:rPr>
          <w:color w:val="000000" w:themeColor="text1"/>
          <w:lang w:val="el-GR"/>
        </w:rPr>
        <w:t xml:space="preserve"> </w:t>
      </w:r>
      <w:r w:rsidRPr="00E72272">
        <w:rPr>
          <w:b/>
          <w:bCs/>
          <w:color w:val="000000" w:themeColor="text1"/>
          <w:lang w:val="el-GR"/>
        </w:rPr>
        <w:t>σε σύγκριση με το μερίδι</w:t>
      </w:r>
      <w:r w:rsidR="00A35B6C">
        <w:rPr>
          <w:b/>
          <w:bCs/>
          <w:color w:val="000000" w:themeColor="text1"/>
          <w:lang w:val="el-GR"/>
        </w:rPr>
        <w:t>ο κάθε κατηγορίας</w:t>
      </w:r>
      <w:r w:rsidR="00FF347C">
        <w:rPr>
          <w:b/>
          <w:bCs/>
          <w:color w:val="000000" w:themeColor="text1"/>
          <w:lang w:val="el-GR"/>
        </w:rPr>
        <w:t xml:space="preserve"> δαπανών</w:t>
      </w:r>
      <w:r w:rsidRPr="00E72272">
        <w:rPr>
          <w:b/>
          <w:bCs/>
          <w:color w:val="000000" w:themeColor="text1"/>
          <w:lang w:val="el-GR"/>
        </w:rPr>
        <w:t xml:space="preserve"> στη συνολική κατανάλωση των νοικοκυριών</w:t>
      </w:r>
      <w:r w:rsidRPr="00306641">
        <w:rPr>
          <w:color w:val="000000" w:themeColor="text1"/>
          <w:lang w:val="el-GR"/>
        </w:rPr>
        <w:t>, οι πληρωμές με κάρτα</w:t>
      </w:r>
      <w:r w:rsidR="007F6FE1">
        <w:rPr>
          <w:color w:val="000000" w:themeColor="text1"/>
          <w:lang w:val="el-GR"/>
        </w:rPr>
        <w:t>:</w:t>
      </w:r>
    </w:p>
    <w:p w14:paraId="7F8AEB22" w14:textId="246862AF" w:rsidR="007F6FE1" w:rsidRDefault="007F6FE1" w:rsidP="00306641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 xml:space="preserve">Χρησιμοποιούνται συντριπτικά λιγότερο </w:t>
      </w:r>
      <w:r w:rsidRPr="00306641">
        <w:rPr>
          <w:color w:val="000000" w:themeColor="text1"/>
        </w:rPr>
        <w:t>σε κατηγορίες όπως νομικές υπηρεσίες, ιατρικές υπηρεσίες, συντήρηση σπιτιού, φροντίδα παιδιών και ευρύτερες εκπαιδευτικές υπηρεσίες, υπηρεσίες πλυσίματος αυτοκινήτων, χωρίς σαφή τάση σύγκλισης.</w:t>
      </w:r>
    </w:p>
    <w:p w14:paraId="01B1D449" w14:textId="07736199" w:rsidR="007F6FE1" w:rsidRDefault="00306641" w:rsidP="00306641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306641">
        <w:rPr>
          <w:color w:val="000000" w:themeColor="text1"/>
        </w:rPr>
        <w:t xml:space="preserve">Χρησιμοποιούνται </w:t>
      </w:r>
      <w:r w:rsidR="007F6FE1">
        <w:rPr>
          <w:color w:val="000000" w:themeColor="text1"/>
        </w:rPr>
        <w:t xml:space="preserve">σχετικά </w:t>
      </w:r>
      <w:r w:rsidRPr="00306641">
        <w:rPr>
          <w:color w:val="000000" w:themeColor="text1"/>
        </w:rPr>
        <w:t>λιγότερο σε κατηγορίες όπως κουρεία, ινστιτούτα αισθητικής ή αρτοποιεία, αλλά με συστηματική τάση σύγκλισης</w:t>
      </w:r>
      <w:r w:rsidR="007F6FE1">
        <w:rPr>
          <w:color w:val="000000" w:themeColor="text1"/>
        </w:rPr>
        <w:t xml:space="preserve"> την τελευταία τριετία</w:t>
      </w:r>
      <w:r w:rsidRPr="00306641">
        <w:rPr>
          <w:color w:val="000000" w:themeColor="text1"/>
        </w:rPr>
        <w:t>.</w:t>
      </w:r>
    </w:p>
    <w:p w14:paraId="71126066" w14:textId="4A33CB8F" w:rsidR="00306641" w:rsidRPr="007F6FE1" w:rsidRDefault="007F6FE1" w:rsidP="00306641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έ</w:t>
      </w:r>
      <w:r w:rsidR="00306641" w:rsidRPr="007F6FE1">
        <w:rPr>
          <w:color w:val="000000" w:themeColor="text1"/>
        </w:rPr>
        <w:t>χουν αυξηθεί σημαντικά</w:t>
      </w:r>
      <w:r>
        <w:rPr>
          <w:color w:val="000000" w:themeColor="text1"/>
        </w:rPr>
        <w:t xml:space="preserve">, ξεπερνώντας μάλιστα το αντίστοιχο μερίδιο κατανάλωσης, </w:t>
      </w:r>
      <w:r w:rsidR="00306641" w:rsidRPr="007F6FE1">
        <w:rPr>
          <w:color w:val="000000" w:themeColor="text1"/>
        </w:rPr>
        <w:t>σε κατηγορίες όπως υπηρεσίες ταξί, όπου πρόσφατα εφαρμόστηκε η υποχρεωτική αποδοχή ηλεκτρονικών πληρωμών.</w:t>
      </w:r>
    </w:p>
    <w:p w14:paraId="2D3A4EC4" w14:textId="11680658" w:rsidR="00CF0530" w:rsidRDefault="00CF0530" w:rsidP="00AC4C4B">
      <w:pPr>
        <w:jc w:val="both"/>
        <w:rPr>
          <w:lang w:val="el-GR"/>
        </w:rPr>
      </w:pPr>
      <w:r w:rsidRPr="003B0CA7">
        <w:rPr>
          <w:color w:val="000000" w:themeColor="text1"/>
          <w:lang w:val="el-GR"/>
        </w:rPr>
        <w:t xml:space="preserve">Παρά την πρόσφατη πρόοδο, η Ελλάδα </w:t>
      </w:r>
      <w:r w:rsidR="003F58D1">
        <w:rPr>
          <w:color w:val="000000" w:themeColor="text1"/>
          <w:lang w:val="el-GR"/>
        </w:rPr>
        <w:t>εξακολουθ</w:t>
      </w:r>
      <w:r w:rsidR="00EF3787">
        <w:rPr>
          <w:color w:val="000000" w:themeColor="text1"/>
          <w:lang w:val="el-GR"/>
        </w:rPr>
        <w:t>ούσε το 2023</w:t>
      </w:r>
      <w:r w:rsidR="003F58D1">
        <w:rPr>
          <w:color w:val="000000" w:themeColor="text1"/>
          <w:lang w:val="el-GR"/>
        </w:rPr>
        <w:t xml:space="preserve"> να </w:t>
      </w:r>
      <w:r w:rsidRPr="003B0CA7">
        <w:rPr>
          <w:color w:val="000000" w:themeColor="text1"/>
          <w:lang w:val="el-GR"/>
        </w:rPr>
        <w:t xml:space="preserve">παρουσιάζει </w:t>
      </w:r>
      <w:r w:rsidR="0041159A">
        <w:rPr>
          <w:color w:val="000000" w:themeColor="text1"/>
          <w:lang w:val="el-GR"/>
        </w:rPr>
        <w:t>το 14</w:t>
      </w:r>
      <w:r w:rsidR="0041159A" w:rsidRPr="0041159A">
        <w:rPr>
          <w:color w:val="000000" w:themeColor="text1"/>
          <w:vertAlign w:val="superscript"/>
          <w:lang w:val="el-GR"/>
        </w:rPr>
        <w:t>ο</w:t>
      </w:r>
      <w:r w:rsidR="0041159A">
        <w:rPr>
          <w:color w:val="000000" w:themeColor="text1"/>
          <w:lang w:val="el-GR"/>
        </w:rPr>
        <w:t xml:space="preserve"> </w:t>
      </w:r>
      <w:r w:rsidRPr="003B0CA7">
        <w:rPr>
          <w:color w:val="000000" w:themeColor="text1"/>
          <w:lang w:val="el-GR"/>
        </w:rPr>
        <w:t>μεγαλύτερ</w:t>
      </w:r>
      <w:r w:rsidR="0041159A">
        <w:rPr>
          <w:color w:val="000000" w:themeColor="text1"/>
          <w:lang w:val="el-GR"/>
        </w:rPr>
        <w:t>ο</w:t>
      </w:r>
      <w:r w:rsidRPr="003B0CA7">
        <w:rPr>
          <w:color w:val="000000" w:themeColor="text1"/>
          <w:lang w:val="el-GR"/>
        </w:rPr>
        <w:t xml:space="preserve"> </w:t>
      </w:r>
      <w:r w:rsidRPr="003B0CA7">
        <w:rPr>
          <w:b/>
          <w:bCs/>
          <w:color w:val="000000" w:themeColor="text1"/>
          <w:lang w:val="el-GR"/>
        </w:rPr>
        <w:t>«κεν</w:t>
      </w:r>
      <w:r w:rsidR="00781B5B">
        <w:rPr>
          <w:b/>
          <w:bCs/>
          <w:color w:val="000000" w:themeColor="text1"/>
          <w:lang w:val="el-GR"/>
        </w:rPr>
        <w:t>ό</w:t>
      </w:r>
      <w:r w:rsidR="003B0CA7">
        <w:rPr>
          <w:b/>
          <w:bCs/>
          <w:color w:val="000000" w:themeColor="text1"/>
          <w:lang w:val="el-GR"/>
        </w:rPr>
        <w:t>» στα έσοδα από</w:t>
      </w:r>
      <w:r w:rsidRPr="003B0CA7">
        <w:rPr>
          <w:b/>
          <w:bCs/>
          <w:color w:val="000000" w:themeColor="text1"/>
          <w:lang w:val="el-GR"/>
        </w:rPr>
        <w:t xml:space="preserve"> ΦΠΑ</w:t>
      </w:r>
      <w:r w:rsidRPr="003B0CA7">
        <w:rPr>
          <w:color w:val="000000" w:themeColor="text1"/>
          <w:lang w:val="el-GR"/>
        </w:rPr>
        <w:t xml:space="preserve"> στην ΕΕ. Η μεγαλύτερη χρήση ψηφιακών πληρωμών συνδέεται με χαμηλότερ</w:t>
      </w:r>
      <w:r w:rsidR="008C5339">
        <w:rPr>
          <w:color w:val="000000" w:themeColor="text1"/>
          <w:lang w:val="el-GR"/>
        </w:rPr>
        <w:t>ο</w:t>
      </w:r>
      <w:r w:rsidRPr="003B0CA7">
        <w:rPr>
          <w:color w:val="000000" w:themeColor="text1"/>
          <w:lang w:val="el-GR"/>
        </w:rPr>
        <w:t xml:space="preserve"> «κεν</w:t>
      </w:r>
      <w:r w:rsidR="008C5339">
        <w:rPr>
          <w:color w:val="000000" w:themeColor="text1"/>
          <w:lang w:val="el-GR"/>
        </w:rPr>
        <w:t>ό»</w:t>
      </w:r>
      <w:r w:rsidRPr="003B0CA7">
        <w:rPr>
          <w:color w:val="000000" w:themeColor="text1"/>
          <w:lang w:val="el-GR"/>
        </w:rPr>
        <w:t xml:space="preserve"> ΦΠΑ σε ολόκληρη την ΕΕ.</w:t>
      </w:r>
      <w:r w:rsidR="003B0CA7">
        <w:rPr>
          <w:color w:val="000000" w:themeColor="text1"/>
          <w:lang w:val="el-GR"/>
        </w:rPr>
        <w:t xml:space="preserve"> </w:t>
      </w:r>
      <w:r w:rsidR="008C5339" w:rsidRPr="00DB59D1">
        <w:rPr>
          <w:color w:val="000000" w:themeColor="text1"/>
          <w:lang w:val="el-GR"/>
        </w:rPr>
        <w:t xml:space="preserve">Η χρήση συναλλαγών με κάρτες στην Ελλάδα, αναλογικά με την ιδιωτική κατανάλωση, </w:t>
      </w:r>
      <w:r w:rsidR="007F6FE1">
        <w:rPr>
          <w:color w:val="000000" w:themeColor="text1"/>
          <w:lang w:val="el-GR"/>
        </w:rPr>
        <w:t>αγγίζει πλέον τον</w:t>
      </w:r>
      <w:r w:rsidR="008C5339" w:rsidRPr="00DB59D1">
        <w:rPr>
          <w:color w:val="000000" w:themeColor="text1"/>
          <w:lang w:val="el-GR"/>
        </w:rPr>
        <w:t xml:space="preserve"> μέσο όρο της Ευρωζώνης </w:t>
      </w:r>
      <w:r w:rsidR="008C5339">
        <w:rPr>
          <w:lang w:val="el-GR"/>
        </w:rPr>
        <w:t xml:space="preserve">(Διάγραμμα </w:t>
      </w:r>
      <w:r w:rsidR="00591A51">
        <w:rPr>
          <w:lang w:val="el-GR"/>
        </w:rPr>
        <w:t>4</w:t>
      </w:r>
      <w:r w:rsidR="008C5339">
        <w:rPr>
          <w:lang w:val="el-GR"/>
        </w:rPr>
        <w:t>)</w:t>
      </w:r>
      <w:r w:rsidR="008C5339">
        <w:rPr>
          <w:color w:val="000000" w:themeColor="text1"/>
          <w:lang w:val="el-GR"/>
        </w:rPr>
        <w:t xml:space="preserve">. </w:t>
      </w:r>
      <w:r>
        <w:rPr>
          <w:lang w:val="el-GR"/>
        </w:rPr>
        <w:t xml:space="preserve">Παρά τη σύγκλιση </w:t>
      </w:r>
      <w:r w:rsidR="007F6FE1">
        <w:rPr>
          <w:lang w:val="el-GR"/>
        </w:rPr>
        <w:t>αυτή</w:t>
      </w:r>
      <w:r w:rsidRPr="009B6A28">
        <w:rPr>
          <w:lang w:val="el-GR"/>
        </w:rPr>
        <w:t xml:space="preserve">, το επίπεδο χρήσης καρτών </w:t>
      </w:r>
      <w:r>
        <w:rPr>
          <w:lang w:val="el-GR"/>
        </w:rPr>
        <w:t xml:space="preserve">σε σχέση με την ιδιωτική κατανάλωση </w:t>
      </w:r>
      <w:r w:rsidRPr="009B6A28">
        <w:rPr>
          <w:lang w:val="el-GR"/>
        </w:rPr>
        <w:t xml:space="preserve">στην Ελλάδα παραμένει </w:t>
      </w:r>
      <w:r>
        <w:rPr>
          <w:lang w:val="el-GR"/>
        </w:rPr>
        <w:t>το 1</w:t>
      </w:r>
      <w:r w:rsidR="003B0CA7">
        <w:rPr>
          <w:lang w:val="el-GR"/>
        </w:rPr>
        <w:t>9</w:t>
      </w:r>
      <w:r w:rsidRPr="001A0376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 w:rsidRPr="009B6A28">
        <w:rPr>
          <w:lang w:val="el-GR"/>
        </w:rPr>
        <w:t xml:space="preserve">χαμηλότερο </w:t>
      </w:r>
      <w:r>
        <w:rPr>
          <w:lang w:val="el-GR"/>
        </w:rPr>
        <w:t>μεταξύ των 27 μελών τ</w:t>
      </w:r>
      <w:r w:rsidRPr="009B6A28">
        <w:rPr>
          <w:lang w:val="el-GR"/>
        </w:rPr>
        <w:t xml:space="preserve">ης ΕΕ, </w:t>
      </w:r>
      <w:r>
        <w:rPr>
          <w:lang w:val="el-GR"/>
        </w:rPr>
        <w:t>καθώς</w:t>
      </w:r>
      <w:r w:rsidRPr="009B6A28">
        <w:rPr>
          <w:lang w:val="el-GR"/>
        </w:rPr>
        <w:t xml:space="preserve"> </w:t>
      </w:r>
      <w:r>
        <w:rPr>
          <w:lang w:val="el-GR"/>
        </w:rPr>
        <w:t>η</w:t>
      </w:r>
      <w:r w:rsidRPr="009B6A28">
        <w:rPr>
          <w:lang w:val="el-GR"/>
        </w:rPr>
        <w:t xml:space="preserve"> χρήση καρτών </w:t>
      </w:r>
      <w:r>
        <w:rPr>
          <w:lang w:val="el-GR"/>
        </w:rPr>
        <w:t xml:space="preserve">παραμένει αναλογικά χαμηλή </w:t>
      </w:r>
      <w:r w:rsidRPr="009B6A28">
        <w:rPr>
          <w:lang w:val="el-GR"/>
        </w:rPr>
        <w:t xml:space="preserve">σε </w:t>
      </w:r>
      <w:r w:rsidR="008C5339">
        <w:rPr>
          <w:lang w:val="el-GR"/>
        </w:rPr>
        <w:t>επιμέρους κατηγορίες συναλλαγών</w:t>
      </w:r>
      <w:r w:rsidRPr="009B6A28">
        <w:rPr>
          <w:lang w:val="el-GR"/>
        </w:rPr>
        <w:t>.</w:t>
      </w:r>
      <w:r w:rsidR="00D33735">
        <w:rPr>
          <w:lang w:val="el-GR"/>
        </w:rPr>
        <w:t xml:space="preserve"> </w:t>
      </w:r>
    </w:p>
    <w:p w14:paraId="752B8E98" w14:textId="6F9855AD" w:rsidR="00C5631C" w:rsidRPr="00C5631C" w:rsidRDefault="00C5631C" w:rsidP="00C5631C">
      <w:pPr>
        <w:jc w:val="both"/>
        <w:rPr>
          <w:b/>
          <w:bCs/>
          <w:color w:val="000000" w:themeColor="text1"/>
          <w:lang w:val="el-GR"/>
        </w:rPr>
      </w:pPr>
      <w:r>
        <w:rPr>
          <w:b/>
          <w:bCs/>
          <w:color w:val="000000" w:themeColor="text1"/>
          <w:lang w:val="el-GR"/>
        </w:rPr>
        <w:t>Δυνατότητες για καλύτερη στόχευση των μέτρων και μεγαλύτερα οφέλη για την οικονομία</w:t>
      </w:r>
    </w:p>
    <w:p w14:paraId="2BC3BC28" w14:textId="6772C3FC" w:rsidR="00D33735" w:rsidRPr="00A03E8A" w:rsidRDefault="00D33735" w:rsidP="00AC4C4B">
      <w:pPr>
        <w:jc w:val="both"/>
        <w:rPr>
          <w:lang w:val="el-GR"/>
        </w:rPr>
      </w:pPr>
      <w:r>
        <w:rPr>
          <w:rStyle w:val="Strong"/>
          <w:b w:val="0"/>
          <w:lang w:val="el-GR"/>
        </w:rPr>
        <w:t xml:space="preserve">Καθώς υπάρχει ακόμα περιθώριο για ενίσχυση της φορολογικής συμμόρφωσης μέσα από </w:t>
      </w:r>
      <w:proofErr w:type="spellStart"/>
      <w:r>
        <w:rPr>
          <w:rStyle w:val="Strong"/>
          <w:b w:val="0"/>
          <w:lang w:val="el-GR"/>
        </w:rPr>
        <w:t>στοχευμένη</w:t>
      </w:r>
      <w:proofErr w:type="spellEnd"/>
      <w:r>
        <w:rPr>
          <w:rStyle w:val="Strong"/>
          <w:b w:val="0"/>
          <w:lang w:val="el-GR"/>
        </w:rPr>
        <w:t xml:space="preserve"> εξάπλωση των ηλεκτρονικών πληρωμών, στη μελέτη </w:t>
      </w:r>
      <w:r w:rsidRPr="008C5339">
        <w:rPr>
          <w:rStyle w:val="Strong"/>
          <w:bCs w:val="0"/>
          <w:lang w:val="el-GR"/>
        </w:rPr>
        <w:t>προτείνονται περαιτέρω σχετικά μέτρα πολιτικής</w:t>
      </w:r>
      <w:r>
        <w:rPr>
          <w:lang w:val="el-GR"/>
        </w:rPr>
        <w:t>.</w:t>
      </w:r>
      <w:r w:rsidRPr="00812069">
        <w:rPr>
          <w:lang w:val="el-GR"/>
        </w:rPr>
        <w:t xml:space="preserve"> </w:t>
      </w:r>
      <w:r>
        <w:rPr>
          <w:lang w:val="el-GR"/>
        </w:rPr>
        <w:t xml:space="preserve">Ενδεικτικά, συμπληρωματικά μέτρα προς αυτή την κατεύθυνση είναι η άμεση </w:t>
      </w:r>
      <w:r w:rsidRPr="0041288E">
        <w:rPr>
          <w:lang w:val="el-GR"/>
        </w:rPr>
        <w:t xml:space="preserve">επιστροφή </w:t>
      </w:r>
      <w:r>
        <w:rPr>
          <w:lang w:val="el-GR"/>
        </w:rPr>
        <w:t>στον καταναλωτή (</w:t>
      </w:r>
      <w:r>
        <w:rPr>
          <w:lang w:val="fr-CH"/>
        </w:rPr>
        <w:t>cashback</w:t>
      </w:r>
      <w:r>
        <w:rPr>
          <w:lang w:val="el-GR"/>
        </w:rPr>
        <w:t xml:space="preserve">) ενός </w:t>
      </w:r>
      <w:r w:rsidRPr="0041288E">
        <w:rPr>
          <w:lang w:val="el-GR"/>
        </w:rPr>
        <w:t xml:space="preserve">ποσοστού επί της αξίας </w:t>
      </w:r>
      <w:proofErr w:type="spellStart"/>
      <w:r>
        <w:rPr>
          <w:lang w:val="el-GR"/>
        </w:rPr>
        <w:t>στοχευμένων</w:t>
      </w:r>
      <w:proofErr w:type="spellEnd"/>
      <w:r>
        <w:rPr>
          <w:lang w:val="el-GR"/>
        </w:rPr>
        <w:t xml:space="preserve"> συναλλαγών με ηλεκτρονικά μέσα, η επέκταση του μηχανισμού κινήτρων και </w:t>
      </w:r>
      <w:proofErr w:type="spellStart"/>
      <w:r>
        <w:rPr>
          <w:lang w:val="el-GR"/>
        </w:rPr>
        <w:t>αντι</w:t>
      </w:r>
      <w:proofErr w:type="spellEnd"/>
      <w:r>
        <w:rPr>
          <w:lang w:val="el-GR"/>
        </w:rPr>
        <w:t>-κινήτρων για ηλεκτρονικές πληρωμές (</w:t>
      </w:r>
      <w:r>
        <w:t>B</w:t>
      </w:r>
      <w:r w:rsidRPr="0077200D">
        <w:rPr>
          <w:lang w:val="el-GR"/>
        </w:rPr>
        <w:t>2</w:t>
      </w:r>
      <w:r>
        <w:t>C</w:t>
      </w:r>
      <w:r w:rsidRPr="0077200D">
        <w:rPr>
          <w:lang w:val="el-GR"/>
        </w:rPr>
        <w:t xml:space="preserve"> </w:t>
      </w:r>
      <w:r>
        <w:rPr>
          <w:lang w:val="el-GR"/>
        </w:rPr>
        <w:t xml:space="preserve">και </w:t>
      </w:r>
      <w:r>
        <w:t>B</w:t>
      </w:r>
      <w:r w:rsidRPr="0077200D">
        <w:rPr>
          <w:lang w:val="el-GR"/>
        </w:rPr>
        <w:t>2</w:t>
      </w:r>
      <w:r>
        <w:t>B</w:t>
      </w:r>
      <w:r>
        <w:rPr>
          <w:lang w:val="el-GR"/>
        </w:rPr>
        <w:t xml:space="preserve">) στην πλευρά των επαγγελματιών, η σύνδεση μέρους των </w:t>
      </w:r>
      <w:proofErr w:type="spellStart"/>
      <w:r>
        <w:rPr>
          <w:lang w:val="el-GR"/>
        </w:rPr>
        <w:t>εκπιπτόμενων</w:t>
      </w:r>
      <w:proofErr w:type="spellEnd"/>
      <w:r>
        <w:rPr>
          <w:lang w:val="el-GR"/>
        </w:rPr>
        <w:t xml:space="preserve"> δαπανών των αυτοαπασχολούμενων με τον ψηφιακό τρόπο πληρωμής τους, καθώς και η στόχευση της λοταρίας σε συναλλαγές με υψηλό ρίσκο φοροδιαφυγής.</w:t>
      </w:r>
    </w:p>
    <w:p w14:paraId="130286BF" w14:textId="32D34997" w:rsidR="00E1495E" w:rsidRPr="00CA0B71" w:rsidRDefault="00C83E33" w:rsidP="00C83E33">
      <w:pPr>
        <w:pStyle w:val="Caption"/>
      </w:pPr>
      <w:bookmarkStart w:id="0" w:name="_Toc517425298"/>
      <w:r>
        <w:lastRenderedPageBreak/>
        <w:t xml:space="preserve">Διάγραμμα </w:t>
      </w:r>
      <w:r w:rsidR="00591A51">
        <w:t>4</w:t>
      </w:r>
      <w:r w:rsidRPr="00C83E33">
        <w:t xml:space="preserve">. </w:t>
      </w:r>
      <w:r w:rsidR="00E1495E" w:rsidRPr="00812069">
        <w:t>Αξία συναλλαγών με κάρτ</w:t>
      </w:r>
      <w:r w:rsidR="001D4EDC">
        <w:t>ες πληρωμών</w:t>
      </w:r>
      <w:r w:rsidR="00E1495E" w:rsidRPr="00812069">
        <w:t xml:space="preserve"> στις χώρες της ΕΕ-2</w:t>
      </w:r>
      <w:r w:rsidR="001D4EDC">
        <w:t>7</w:t>
      </w:r>
      <w:r w:rsidR="00E1495E" w:rsidRPr="00812069">
        <w:t xml:space="preserve">, ως ποσοστό της κατανάλωσης </w:t>
      </w:r>
      <w:r w:rsidR="001D4EDC">
        <w:t>νοικοκυριών</w:t>
      </w:r>
      <w:r w:rsidR="004E48D7">
        <w:t>,</w:t>
      </w:r>
      <w:r w:rsidR="00E1495E" w:rsidRPr="00812069">
        <w:t xml:space="preserve"> 20</w:t>
      </w:r>
      <w:bookmarkEnd w:id="0"/>
      <w:r w:rsidR="001D4EDC">
        <w:t>2</w:t>
      </w:r>
      <w:r w:rsidR="00CA0B71" w:rsidRPr="00CA0B71">
        <w:t>4</w:t>
      </w:r>
    </w:p>
    <w:p w14:paraId="62F80E7F" w14:textId="7FE0E499" w:rsidR="00E1495E" w:rsidRPr="00BA115E" w:rsidRDefault="00CA0B71" w:rsidP="003E6760">
      <w:pPr>
        <w:spacing w:after="0"/>
        <w:contextualSpacing/>
        <w:jc w:val="center"/>
        <w:rPr>
          <w:b/>
          <w:sz w:val="18"/>
        </w:rPr>
      </w:pPr>
      <w:r w:rsidRPr="00CA0B71">
        <w:rPr>
          <w:b/>
          <w:noProof/>
          <w:sz w:val="18"/>
        </w:rPr>
        <w:drawing>
          <wp:inline distT="0" distB="0" distL="0" distR="0" wp14:anchorId="71AECD52" wp14:editId="4C7DD58B">
            <wp:extent cx="5568704" cy="3987592"/>
            <wp:effectExtent l="0" t="0" r="0" b="0"/>
            <wp:docPr id="20839780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21F20FE-7E9B-4B1B-8670-1AC4BE02EC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86CF8A8" w14:textId="5967AD01" w:rsidR="0045643C" w:rsidRDefault="00E1495E" w:rsidP="00F162CB">
      <w:pPr>
        <w:spacing w:after="0"/>
        <w:contextualSpacing/>
        <w:jc w:val="both"/>
        <w:rPr>
          <w:sz w:val="18"/>
          <w:lang w:val="el-GR"/>
        </w:rPr>
      </w:pPr>
      <w:r w:rsidRPr="00812069">
        <w:rPr>
          <w:b/>
          <w:sz w:val="18"/>
          <w:lang w:val="el-GR"/>
        </w:rPr>
        <w:t xml:space="preserve">Πηγή: </w:t>
      </w:r>
      <w:r w:rsidRPr="00812069">
        <w:rPr>
          <w:sz w:val="18"/>
          <w:lang w:val="el-GR"/>
        </w:rPr>
        <w:t xml:space="preserve">ΕΚΤ, </w:t>
      </w:r>
      <w:proofErr w:type="spellStart"/>
      <w:r w:rsidRPr="00812069">
        <w:rPr>
          <w:sz w:val="18"/>
          <w:lang w:val="el-GR"/>
        </w:rPr>
        <w:t>Eurostat</w:t>
      </w:r>
      <w:proofErr w:type="spellEnd"/>
      <w:r w:rsidRPr="00812069">
        <w:rPr>
          <w:sz w:val="18"/>
          <w:lang w:val="el-GR"/>
        </w:rPr>
        <w:t xml:space="preserve">  </w:t>
      </w:r>
      <w:r w:rsidRPr="00812069">
        <w:rPr>
          <w:b/>
          <w:sz w:val="18"/>
          <w:lang w:val="el-GR"/>
        </w:rPr>
        <w:t>Επεξεργασία στοιχείων:</w:t>
      </w:r>
      <w:r w:rsidRPr="00812069">
        <w:rPr>
          <w:sz w:val="18"/>
          <w:lang w:val="el-GR"/>
        </w:rPr>
        <w:t xml:space="preserve"> ΙΟΒΕ</w:t>
      </w:r>
      <w:r w:rsidR="00682CC0">
        <w:rPr>
          <w:sz w:val="18"/>
          <w:lang w:val="el-GR"/>
        </w:rPr>
        <w:t xml:space="preserve">. </w:t>
      </w:r>
      <w:r w:rsidR="00682CC0" w:rsidRPr="00682CC0">
        <w:rPr>
          <w:b/>
          <w:bCs/>
          <w:sz w:val="18"/>
          <w:lang w:val="el-GR"/>
        </w:rPr>
        <w:t>Σημείωση</w:t>
      </w:r>
      <w:r w:rsidR="00682CC0" w:rsidRPr="00682CC0">
        <w:rPr>
          <w:sz w:val="18"/>
          <w:lang w:val="el-GR"/>
        </w:rPr>
        <w:t xml:space="preserve">: </w:t>
      </w:r>
      <w:r w:rsidR="000607A3" w:rsidRPr="000607A3">
        <w:rPr>
          <w:sz w:val="18"/>
          <w:lang w:val="el-GR"/>
        </w:rPr>
        <w:t>Οι συναλλαγές με κάρτα αφορούν κάρτες που εκδόθηκαν στην κάθε χώρα</w:t>
      </w:r>
      <w:r w:rsidR="00682CC0" w:rsidRPr="00682CC0">
        <w:rPr>
          <w:sz w:val="18"/>
          <w:lang w:val="el-GR"/>
        </w:rPr>
        <w:t>.</w:t>
      </w:r>
      <w:r w:rsidR="00FC63E7">
        <w:rPr>
          <w:sz w:val="18"/>
          <w:lang w:val="el-GR"/>
        </w:rPr>
        <w:t xml:space="preserve"> Για τις περιπτώσεις της Λιθουανίας και Ιρλανδίας, το ποσοστό υπερβαίνει το 100%.</w:t>
      </w:r>
    </w:p>
    <w:p w14:paraId="585E4E19" w14:textId="0BFDC1D4" w:rsidR="00C92070" w:rsidRDefault="00C92070" w:rsidP="0045643C">
      <w:pPr>
        <w:tabs>
          <w:tab w:val="num" w:pos="720"/>
          <w:tab w:val="num" w:pos="1440"/>
        </w:tabs>
        <w:jc w:val="both"/>
        <w:rPr>
          <w:lang w:val="el-GR"/>
        </w:rPr>
      </w:pPr>
    </w:p>
    <w:p w14:paraId="2CB80375" w14:textId="79D0B551" w:rsidR="0045643C" w:rsidRPr="00A92E62" w:rsidRDefault="00EC62AD" w:rsidP="006E4F0D">
      <w:pPr>
        <w:pBdr>
          <w:top w:val="single" w:sz="4" w:space="1" w:color="auto"/>
        </w:pBdr>
        <w:spacing w:before="140" w:after="0"/>
        <w:jc w:val="both"/>
        <w:rPr>
          <w:rStyle w:val="Strong"/>
          <w:b w:val="0"/>
          <w:bCs w:val="0"/>
          <w:lang w:val="el-GR"/>
        </w:rPr>
      </w:pPr>
      <w:r>
        <w:rPr>
          <w:rFonts w:ascii="Calibri" w:hAnsi="Calibri" w:cs="Calibri"/>
          <w:lang w:val="el-GR"/>
        </w:rPr>
        <w:t>*</w:t>
      </w:r>
      <w:r w:rsidRPr="006E4F0D">
        <w:rPr>
          <w:rFonts w:ascii="Calibri" w:hAnsi="Calibri" w:cs="Calibri"/>
          <w:i/>
          <w:iCs/>
          <w:lang w:val="el-GR"/>
        </w:rPr>
        <w:t xml:space="preserve">Το </w:t>
      </w:r>
      <w:hyperlink r:id="rId16" w:tgtFrame="_blank" w:history="1">
        <w:r w:rsidRPr="002A0A5B">
          <w:rPr>
            <w:rStyle w:val="Hyperlink"/>
            <w:rFonts w:ascii="Calibri" w:hAnsi="Calibri" w:cs="Calibri"/>
            <w:i/>
            <w:iCs/>
            <w:lang w:val="el-GR"/>
          </w:rPr>
          <w:t xml:space="preserve">αρχείο της </w:t>
        </w:r>
        <w:r w:rsidRPr="002A0A5B">
          <w:rPr>
            <w:rStyle w:val="Hyperlink"/>
            <w:rFonts w:ascii="Calibri" w:hAnsi="Calibri" w:cs="Calibri"/>
            <w:i/>
            <w:iCs/>
            <w:lang w:val="el-GR"/>
          </w:rPr>
          <w:t>π</w:t>
        </w:r>
        <w:r w:rsidRPr="002A0A5B">
          <w:rPr>
            <w:rStyle w:val="Hyperlink"/>
            <w:rFonts w:ascii="Calibri" w:hAnsi="Calibri" w:cs="Calibri"/>
            <w:i/>
            <w:iCs/>
            <w:lang w:val="el-GR"/>
          </w:rPr>
          <w:t>αρουσίασης</w:t>
        </w:r>
      </w:hyperlink>
      <w:r w:rsidRPr="006E4F0D">
        <w:rPr>
          <w:rFonts w:ascii="Calibri" w:hAnsi="Calibri" w:cs="Calibri"/>
          <w:i/>
          <w:iCs/>
          <w:lang w:val="el-GR"/>
        </w:rPr>
        <w:t xml:space="preserve"> </w:t>
      </w:r>
      <w:r w:rsidR="0045643C" w:rsidRPr="006E4F0D">
        <w:rPr>
          <w:rFonts w:ascii="Calibri" w:hAnsi="Calibri" w:cs="Calibri"/>
          <w:i/>
          <w:iCs/>
          <w:lang w:val="el-GR"/>
        </w:rPr>
        <w:t>είναι διαθέσιμ</w:t>
      </w:r>
      <w:r w:rsidRPr="006E4F0D">
        <w:rPr>
          <w:rFonts w:ascii="Calibri" w:hAnsi="Calibri" w:cs="Calibri"/>
          <w:i/>
          <w:iCs/>
          <w:lang w:val="el-GR"/>
        </w:rPr>
        <w:t>ο</w:t>
      </w:r>
      <w:r w:rsidR="0045643C" w:rsidRPr="006E4F0D">
        <w:rPr>
          <w:rFonts w:ascii="Calibri" w:hAnsi="Calibri" w:cs="Calibri"/>
          <w:i/>
          <w:iCs/>
          <w:lang w:val="el-GR"/>
        </w:rPr>
        <w:t xml:space="preserve"> στην ιστοσελίδα του ΙΟΒΕ (</w:t>
      </w:r>
      <w:hyperlink r:id="rId17" w:history="1">
        <w:r w:rsidR="00092333" w:rsidRPr="006E4F0D">
          <w:rPr>
            <w:rStyle w:val="Hyperlink"/>
            <w:rFonts w:ascii="Calibri" w:hAnsi="Calibri" w:cs="Calibri"/>
            <w:i/>
            <w:iCs/>
            <w:lang w:val="en-GB"/>
          </w:rPr>
          <w:t>www</w:t>
        </w:r>
        <w:r w:rsidR="00092333" w:rsidRPr="006E4F0D">
          <w:rPr>
            <w:rStyle w:val="Hyperlink"/>
            <w:rFonts w:ascii="Calibri" w:hAnsi="Calibri" w:cs="Calibri"/>
            <w:i/>
            <w:iCs/>
            <w:lang w:val="el-GR"/>
          </w:rPr>
          <w:t>.</w:t>
        </w:r>
        <w:proofErr w:type="spellStart"/>
        <w:r w:rsidR="00092333" w:rsidRPr="006E4F0D">
          <w:rPr>
            <w:rStyle w:val="Hyperlink"/>
            <w:rFonts w:ascii="Calibri" w:hAnsi="Calibri" w:cs="Calibri"/>
            <w:i/>
            <w:iCs/>
            <w:lang w:val="en-GB"/>
          </w:rPr>
          <w:t>iobe</w:t>
        </w:r>
        <w:proofErr w:type="spellEnd"/>
        <w:r w:rsidR="00092333" w:rsidRPr="006E4F0D">
          <w:rPr>
            <w:rStyle w:val="Hyperlink"/>
            <w:rFonts w:ascii="Calibri" w:hAnsi="Calibri" w:cs="Calibri"/>
            <w:i/>
            <w:iCs/>
            <w:lang w:val="el-GR"/>
          </w:rPr>
          <w:t>.</w:t>
        </w:r>
        <w:r w:rsidR="00092333" w:rsidRPr="006E4F0D">
          <w:rPr>
            <w:rStyle w:val="Hyperlink"/>
            <w:rFonts w:ascii="Calibri" w:hAnsi="Calibri" w:cs="Calibri"/>
            <w:i/>
            <w:iCs/>
            <w:lang w:val="en-GB"/>
          </w:rPr>
          <w:t>gr</w:t>
        </w:r>
      </w:hyperlink>
      <w:r w:rsidR="0045643C" w:rsidRPr="006E4F0D">
        <w:rPr>
          <w:rFonts w:ascii="Calibri" w:hAnsi="Calibri" w:cs="Calibri"/>
          <w:i/>
          <w:iCs/>
          <w:lang w:val="el-GR"/>
        </w:rPr>
        <w:t>).</w:t>
      </w:r>
      <w:r w:rsidR="00A92E62" w:rsidRPr="006E4F0D">
        <w:rPr>
          <w:rFonts w:ascii="Calibri" w:hAnsi="Calibri" w:cs="Calibri"/>
          <w:i/>
          <w:iCs/>
          <w:lang w:val="el-GR"/>
        </w:rPr>
        <w:t xml:space="preserve"> </w:t>
      </w:r>
    </w:p>
    <w:sectPr w:rsidR="0045643C" w:rsidRPr="00A92E62" w:rsidSect="0054266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990" w:right="1608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8E16" w14:textId="77777777" w:rsidR="006A1D30" w:rsidRDefault="006A1D30" w:rsidP="00542663">
      <w:pPr>
        <w:spacing w:after="0" w:line="240" w:lineRule="auto"/>
      </w:pPr>
      <w:r>
        <w:separator/>
      </w:r>
    </w:p>
  </w:endnote>
  <w:endnote w:type="continuationSeparator" w:id="0">
    <w:p w14:paraId="60BD446B" w14:textId="77777777" w:rsidR="006A1D30" w:rsidRDefault="006A1D30" w:rsidP="00542663">
      <w:pPr>
        <w:spacing w:after="0" w:line="240" w:lineRule="auto"/>
      </w:pPr>
      <w:r>
        <w:continuationSeparator/>
      </w:r>
    </w:p>
  </w:endnote>
  <w:endnote w:type="continuationNotice" w:id="1">
    <w:p w14:paraId="2DBDCABA" w14:textId="77777777" w:rsidR="006A1D30" w:rsidRDefault="006A1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817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5F2CD" w14:textId="2C96747B" w:rsidR="00542663" w:rsidRDefault="005426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C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5EE85E" w14:textId="77777777" w:rsidR="00542663" w:rsidRDefault="00542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B5B2" w14:textId="573203BB" w:rsidR="00542663" w:rsidRDefault="00542663">
    <w:pPr>
      <w:pStyle w:val="Footer"/>
      <w:jc w:val="center"/>
    </w:pPr>
  </w:p>
  <w:p w14:paraId="28191446" w14:textId="77777777" w:rsidR="00542663" w:rsidRDefault="00542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8B04" w14:textId="77777777" w:rsidR="006A1D30" w:rsidRDefault="006A1D30" w:rsidP="00542663">
      <w:pPr>
        <w:spacing w:after="0" w:line="240" w:lineRule="auto"/>
      </w:pPr>
      <w:r>
        <w:separator/>
      </w:r>
    </w:p>
  </w:footnote>
  <w:footnote w:type="continuationSeparator" w:id="0">
    <w:p w14:paraId="35E109A4" w14:textId="77777777" w:rsidR="006A1D30" w:rsidRDefault="006A1D30" w:rsidP="00542663">
      <w:pPr>
        <w:spacing w:after="0" w:line="240" w:lineRule="auto"/>
      </w:pPr>
      <w:r>
        <w:continuationSeparator/>
      </w:r>
    </w:p>
  </w:footnote>
  <w:footnote w:type="continuationNotice" w:id="1">
    <w:p w14:paraId="2F049B5D" w14:textId="77777777" w:rsidR="006A1D30" w:rsidRDefault="006A1D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26C5F114" w14:paraId="6C0A915B" w14:textId="77777777" w:rsidTr="26C5F114">
      <w:tc>
        <w:tcPr>
          <w:tcW w:w="3060" w:type="dxa"/>
        </w:tcPr>
        <w:p w14:paraId="1ED1F22B" w14:textId="48D9F574" w:rsidR="26C5F114" w:rsidRDefault="26C5F114" w:rsidP="26C5F114">
          <w:pPr>
            <w:pStyle w:val="Header"/>
            <w:ind w:left="-115"/>
          </w:pPr>
        </w:p>
      </w:tc>
      <w:tc>
        <w:tcPr>
          <w:tcW w:w="3060" w:type="dxa"/>
        </w:tcPr>
        <w:p w14:paraId="385316B6" w14:textId="54FA808E" w:rsidR="26C5F114" w:rsidRDefault="26C5F114" w:rsidP="26C5F114">
          <w:pPr>
            <w:pStyle w:val="Header"/>
            <w:jc w:val="center"/>
          </w:pPr>
        </w:p>
      </w:tc>
      <w:tc>
        <w:tcPr>
          <w:tcW w:w="3060" w:type="dxa"/>
        </w:tcPr>
        <w:p w14:paraId="064C9AC6" w14:textId="2BB8E23B" w:rsidR="26C5F114" w:rsidRDefault="26C5F114" w:rsidP="26C5F114">
          <w:pPr>
            <w:pStyle w:val="Header"/>
            <w:ind w:right="-115"/>
            <w:jc w:val="right"/>
          </w:pPr>
        </w:p>
      </w:tc>
    </w:tr>
  </w:tbl>
  <w:p w14:paraId="0B267828" w14:textId="1EDDED4E" w:rsidR="26C5F114" w:rsidRDefault="26C5F114" w:rsidP="26C5F1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548"/>
      <w:gridCol w:w="6974"/>
    </w:tblGrid>
    <w:tr w:rsidR="00542663" w:rsidRPr="00161AA7" w14:paraId="6F382F0A" w14:textId="77777777" w:rsidTr="26C5F114">
      <w:tc>
        <w:tcPr>
          <w:tcW w:w="1548" w:type="dxa"/>
        </w:tcPr>
        <w:p w14:paraId="6537215E" w14:textId="46C09834" w:rsidR="00542663" w:rsidRPr="00161AA7" w:rsidRDefault="26C5F114" w:rsidP="00542663">
          <w:pPr>
            <w:pStyle w:val="Footer"/>
            <w:tabs>
              <w:tab w:val="clear" w:pos="8306"/>
              <w:tab w:val="right" w:pos="7371"/>
            </w:tabs>
            <w:rPr>
              <w:rFonts w:cs="Tahoma"/>
              <w:szCs w:val="16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689CDF80" wp14:editId="13B8309C">
                <wp:extent cx="685800" cy="6858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4" w:type="dxa"/>
        </w:tcPr>
        <w:p w14:paraId="0F07F442" w14:textId="77777777" w:rsidR="00542663" w:rsidRPr="00161AA7" w:rsidRDefault="00542663" w:rsidP="00542663">
          <w:pPr>
            <w:pStyle w:val="Footer"/>
            <w:tabs>
              <w:tab w:val="clear" w:pos="8306"/>
              <w:tab w:val="right" w:pos="7371"/>
            </w:tabs>
            <w:rPr>
              <w:rFonts w:ascii="Tahoma" w:hAnsi="Tahoma" w:cs="Tahoma"/>
              <w:b/>
            </w:rPr>
          </w:pPr>
        </w:p>
        <w:p w14:paraId="3F324B0A" w14:textId="77777777" w:rsidR="00542663" w:rsidRPr="00161AA7" w:rsidRDefault="00542663" w:rsidP="00542663">
          <w:pPr>
            <w:pStyle w:val="Footer"/>
            <w:tabs>
              <w:tab w:val="clear" w:pos="8306"/>
              <w:tab w:val="right" w:pos="7371"/>
            </w:tabs>
            <w:rPr>
              <w:rStyle w:val="PageNumber"/>
              <w:rFonts w:ascii="Tahoma" w:hAnsi="Tahoma" w:cs="Tahoma"/>
              <w:b/>
              <w:lang w:val="en-GB"/>
            </w:rPr>
          </w:pPr>
          <w:r w:rsidRPr="00161AA7">
            <w:rPr>
              <w:rFonts w:ascii="Tahoma" w:hAnsi="Tahoma" w:cs="Tahoma"/>
              <w:b/>
            </w:rPr>
            <w:t>ΙΔΡΥΜΑ</w:t>
          </w:r>
          <w:r w:rsidRPr="00161AA7">
            <w:rPr>
              <w:rFonts w:ascii="Tahoma" w:hAnsi="Tahoma" w:cs="Tahoma"/>
              <w:b/>
              <w:lang w:val="en-GB"/>
            </w:rPr>
            <w:t xml:space="preserve"> </w:t>
          </w:r>
          <w:r w:rsidRPr="00161AA7">
            <w:rPr>
              <w:rFonts w:ascii="Tahoma" w:hAnsi="Tahoma" w:cs="Tahoma"/>
              <w:b/>
            </w:rPr>
            <w:t>ΟΙΚΟΝΟΜΙΚΩΝ</w:t>
          </w:r>
          <w:r w:rsidRPr="00161AA7">
            <w:rPr>
              <w:rFonts w:ascii="Tahoma" w:hAnsi="Tahoma" w:cs="Tahoma"/>
              <w:b/>
              <w:lang w:val="en-GB"/>
            </w:rPr>
            <w:t xml:space="preserve"> &amp; </w:t>
          </w:r>
          <w:r w:rsidRPr="00161AA7">
            <w:rPr>
              <w:rFonts w:ascii="Tahoma" w:hAnsi="Tahoma" w:cs="Tahoma"/>
              <w:b/>
            </w:rPr>
            <w:t>ΒΙΟΜΗΧΑΝΙΚΩΝ</w:t>
          </w:r>
          <w:r w:rsidRPr="00161AA7">
            <w:rPr>
              <w:rFonts w:ascii="Tahoma" w:hAnsi="Tahoma" w:cs="Tahoma"/>
              <w:b/>
              <w:lang w:val="en-GB"/>
            </w:rPr>
            <w:t xml:space="preserve"> </w:t>
          </w:r>
          <w:r w:rsidRPr="00161AA7">
            <w:rPr>
              <w:rFonts w:ascii="Tahoma" w:hAnsi="Tahoma" w:cs="Tahoma"/>
              <w:b/>
            </w:rPr>
            <w:t>ΕΡΕΥΝΩΝ</w:t>
          </w:r>
        </w:p>
        <w:p w14:paraId="077587EB" w14:textId="77777777" w:rsidR="00542663" w:rsidRPr="00161AA7" w:rsidRDefault="00542663" w:rsidP="00542663">
          <w:pPr>
            <w:pStyle w:val="Footer"/>
            <w:tabs>
              <w:tab w:val="clear" w:pos="8306"/>
              <w:tab w:val="right" w:pos="7371"/>
            </w:tabs>
            <w:rPr>
              <w:rStyle w:val="PageNumber"/>
              <w:rFonts w:ascii="Tahoma" w:hAnsi="Tahoma" w:cs="Tahoma"/>
            </w:rPr>
          </w:pPr>
          <w:r w:rsidRPr="00161AA7">
            <w:rPr>
              <w:rStyle w:val="PageNumber"/>
              <w:rFonts w:ascii="Tahoma" w:hAnsi="Tahoma" w:cs="Tahoma"/>
              <w:b/>
            </w:rPr>
            <w:t>FOUNDATION FOR ECONOMIC &amp; INDUSTRIAL RESEARCH</w:t>
          </w:r>
        </w:p>
        <w:p w14:paraId="42EBE836" w14:textId="77777777" w:rsidR="00542663" w:rsidRPr="00161AA7" w:rsidRDefault="00542663" w:rsidP="00542663">
          <w:pPr>
            <w:pStyle w:val="Footer"/>
            <w:tabs>
              <w:tab w:val="clear" w:pos="8306"/>
              <w:tab w:val="right" w:pos="7371"/>
            </w:tabs>
            <w:rPr>
              <w:rFonts w:cs="Tahoma"/>
              <w:szCs w:val="16"/>
            </w:rPr>
          </w:pPr>
        </w:p>
      </w:tc>
    </w:tr>
  </w:tbl>
  <w:p w14:paraId="59718127" w14:textId="77777777" w:rsidR="00542663" w:rsidRPr="00981C58" w:rsidRDefault="00542663" w:rsidP="00542663">
    <w:pPr>
      <w:pStyle w:val="BodyText"/>
      <w:ind w:left="180" w:firstLine="540"/>
      <w:rPr>
        <w:rFonts w:ascii="Tahoma" w:hAnsi="Tahoma" w:cs="Tahoma"/>
        <w:sz w:val="18"/>
        <w:szCs w:val="18"/>
        <w:lang w:val="el-GR"/>
      </w:rPr>
    </w:pPr>
    <w:r w:rsidRPr="008A4D2E">
      <w:rPr>
        <w:rFonts w:ascii="Tahoma" w:hAnsi="Tahoma" w:cs="Tahoma"/>
        <w:sz w:val="18"/>
        <w:szCs w:val="18"/>
        <w:lang w:val="el-GR"/>
      </w:rPr>
      <w:t>Τ</w:t>
    </w:r>
    <w:r>
      <w:rPr>
        <w:rFonts w:ascii="Tahoma" w:hAnsi="Tahoma" w:cs="Tahoma"/>
        <w:sz w:val="18"/>
        <w:szCs w:val="18"/>
        <w:lang w:val="el-GR"/>
      </w:rPr>
      <w:t>σάμη</w:t>
    </w:r>
    <w:r w:rsidRPr="00981C58">
      <w:rPr>
        <w:rFonts w:ascii="Tahoma" w:hAnsi="Tahoma" w:cs="Tahoma"/>
        <w:sz w:val="18"/>
        <w:szCs w:val="18"/>
        <w:lang w:val="el-GR"/>
      </w:rPr>
      <w:t xml:space="preserve"> </w:t>
    </w:r>
    <w:r w:rsidRPr="008A4D2E">
      <w:rPr>
        <w:rFonts w:ascii="Tahoma" w:hAnsi="Tahoma" w:cs="Tahoma"/>
        <w:sz w:val="18"/>
        <w:szCs w:val="18"/>
        <w:lang w:val="el-GR"/>
      </w:rPr>
      <w:t>Καρατάσ</w:t>
    </w:r>
    <w:r>
      <w:rPr>
        <w:rFonts w:ascii="Tahoma" w:hAnsi="Tahoma" w:cs="Tahoma"/>
        <w:sz w:val="18"/>
        <w:szCs w:val="18"/>
        <w:lang w:val="el-GR"/>
      </w:rPr>
      <w:t>ου</w:t>
    </w:r>
    <w:r w:rsidRPr="00981C58">
      <w:rPr>
        <w:rFonts w:ascii="Tahoma" w:hAnsi="Tahoma" w:cs="Tahoma"/>
        <w:sz w:val="18"/>
        <w:szCs w:val="18"/>
        <w:lang w:val="el-GR"/>
      </w:rPr>
      <w:t xml:space="preserve"> 11, 117 42 </w:t>
    </w:r>
    <w:r w:rsidRPr="008A4D2E">
      <w:rPr>
        <w:rFonts w:ascii="Tahoma" w:hAnsi="Tahoma" w:cs="Tahoma"/>
        <w:sz w:val="18"/>
        <w:szCs w:val="18"/>
        <w:lang w:val="el-GR"/>
      </w:rPr>
      <w:t>Αθήνα</w:t>
    </w:r>
    <w:r w:rsidRPr="00981C58">
      <w:rPr>
        <w:rFonts w:ascii="Tahoma" w:hAnsi="Tahoma" w:cs="Tahoma"/>
        <w:sz w:val="18"/>
        <w:szCs w:val="18"/>
        <w:lang w:val="el-GR"/>
      </w:rPr>
      <w:t xml:space="preserve">, </w:t>
    </w:r>
    <w:r w:rsidRPr="008A4D2E">
      <w:rPr>
        <w:rFonts w:ascii="Tahoma" w:hAnsi="Tahoma" w:cs="Tahoma"/>
        <w:sz w:val="18"/>
        <w:szCs w:val="18"/>
      </w:rPr>
      <w:t>T</w:t>
    </w:r>
    <w:proofErr w:type="spellStart"/>
    <w:r w:rsidRPr="008A4D2E">
      <w:rPr>
        <w:rFonts w:ascii="Tahoma" w:hAnsi="Tahoma" w:cs="Tahoma"/>
        <w:sz w:val="18"/>
        <w:szCs w:val="18"/>
        <w:lang w:val="el-GR"/>
      </w:rPr>
      <w:t>ηλ</w:t>
    </w:r>
    <w:proofErr w:type="spellEnd"/>
    <w:r w:rsidRPr="00981C58">
      <w:rPr>
        <w:rFonts w:ascii="Tahoma" w:hAnsi="Tahoma" w:cs="Tahoma"/>
        <w:sz w:val="18"/>
        <w:szCs w:val="18"/>
        <w:lang w:val="el-GR"/>
      </w:rPr>
      <w:t xml:space="preserve">.: 210 92 11 200-10, </w:t>
    </w:r>
    <w:r w:rsidRPr="008A4D2E">
      <w:rPr>
        <w:rFonts w:ascii="Tahoma" w:hAnsi="Tahoma" w:cs="Tahoma"/>
        <w:sz w:val="18"/>
        <w:szCs w:val="18"/>
      </w:rPr>
      <w:t>Fax</w:t>
    </w:r>
    <w:r w:rsidRPr="00981C58">
      <w:rPr>
        <w:rFonts w:ascii="Tahoma" w:hAnsi="Tahoma" w:cs="Tahoma"/>
        <w:sz w:val="18"/>
        <w:szCs w:val="18"/>
        <w:lang w:val="el-GR"/>
      </w:rPr>
      <w:t xml:space="preserve">: 210 92 33 977, </w:t>
    </w:r>
    <w:r w:rsidRPr="008A4D2E">
      <w:rPr>
        <w:rFonts w:ascii="Tahoma" w:hAnsi="Tahoma" w:cs="Tahoma"/>
        <w:i/>
        <w:sz w:val="18"/>
        <w:szCs w:val="18"/>
      </w:rPr>
      <w:t>www</w:t>
    </w:r>
    <w:r w:rsidRPr="00981C58">
      <w:rPr>
        <w:rFonts w:ascii="Tahoma" w:hAnsi="Tahoma" w:cs="Tahoma"/>
        <w:i/>
        <w:sz w:val="18"/>
        <w:szCs w:val="18"/>
        <w:lang w:val="el-GR"/>
      </w:rPr>
      <w:t>.</w:t>
    </w:r>
    <w:proofErr w:type="spellStart"/>
    <w:r w:rsidRPr="008A4D2E">
      <w:rPr>
        <w:rFonts w:ascii="Tahoma" w:hAnsi="Tahoma" w:cs="Tahoma"/>
        <w:i/>
        <w:sz w:val="18"/>
        <w:szCs w:val="18"/>
      </w:rPr>
      <w:t>iobe</w:t>
    </w:r>
    <w:proofErr w:type="spellEnd"/>
    <w:r w:rsidRPr="00981C58">
      <w:rPr>
        <w:rFonts w:ascii="Tahoma" w:hAnsi="Tahoma" w:cs="Tahoma"/>
        <w:i/>
        <w:sz w:val="18"/>
        <w:szCs w:val="18"/>
        <w:lang w:val="el-GR"/>
      </w:rPr>
      <w:t>.</w:t>
    </w:r>
    <w:r w:rsidRPr="008A4D2E">
      <w:rPr>
        <w:rFonts w:ascii="Tahoma" w:hAnsi="Tahoma" w:cs="Tahoma"/>
        <w:i/>
        <w:sz w:val="18"/>
        <w:szCs w:val="18"/>
      </w:rPr>
      <w:t>gr</w:t>
    </w:r>
  </w:p>
  <w:p w14:paraId="72748C02" w14:textId="77777777" w:rsidR="00542663" w:rsidRPr="00981C58" w:rsidRDefault="00542663" w:rsidP="00542663">
    <w:pPr>
      <w:pStyle w:val="BodyText"/>
      <w:ind w:left="180" w:firstLine="540"/>
      <w:rPr>
        <w:rFonts w:ascii="Tahoma" w:hAnsi="Tahoma" w:cs="Tahoma"/>
        <w:sz w:val="18"/>
        <w:szCs w:val="18"/>
      </w:rPr>
    </w:pPr>
    <w:r w:rsidRPr="00981C58">
      <w:rPr>
        <w:rFonts w:ascii="Tahoma" w:hAnsi="Tahoma" w:cs="Tahoma"/>
        <w:sz w:val="18"/>
        <w:szCs w:val="18"/>
      </w:rPr>
      <w:t xml:space="preserve">11 </w:t>
    </w:r>
    <w:r>
      <w:rPr>
        <w:rFonts w:ascii="Tahoma" w:hAnsi="Tahoma" w:cs="Tahoma"/>
        <w:sz w:val="18"/>
        <w:szCs w:val="18"/>
      </w:rPr>
      <w:t>Tsami</w:t>
    </w:r>
    <w:r w:rsidRPr="00981C58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>Karatassou</w:t>
    </w:r>
    <w:r w:rsidRPr="00981C58">
      <w:rPr>
        <w:rFonts w:ascii="Tahoma" w:hAnsi="Tahoma" w:cs="Tahoma"/>
        <w:sz w:val="18"/>
        <w:szCs w:val="18"/>
      </w:rPr>
      <w:t xml:space="preserve">, 117 42 </w:t>
    </w:r>
    <w:r w:rsidRPr="008A4D2E">
      <w:rPr>
        <w:rFonts w:ascii="Tahoma" w:hAnsi="Tahoma" w:cs="Tahoma"/>
        <w:sz w:val="18"/>
        <w:szCs w:val="18"/>
      </w:rPr>
      <w:t>Athens</w:t>
    </w:r>
    <w:r w:rsidRPr="00981C58">
      <w:rPr>
        <w:rFonts w:ascii="Tahoma" w:hAnsi="Tahoma" w:cs="Tahoma"/>
        <w:sz w:val="18"/>
        <w:szCs w:val="18"/>
      </w:rPr>
      <w:t xml:space="preserve">, </w:t>
    </w:r>
    <w:r w:rsidRPr="008A4D2E">
      <w:rPr>
        <w:rFonts w:ascii="Tahoma" w:hAnsi="Tahoma" w:cs="Tahoma"/>
        <w:sz w:val="18"/>
        <w:szCs w:val="18"/>
      </w:rPr>
      <w:t>Greece</w:t>
    </w:r>
    <w:r w:rsidRPr="00981C58">
      <w:rPr>
        <w:rFonts w:ascii="Tahoma" w:hAnsi="Tahoma" w:cs="Tahoma"/>
        <w:sz w:val="18"/>
        <w:szCs w:val="18"/>
      </w:rPr>
      <w:t xml:space="preserve">, </w:t>
    </w:r>
    <w:r w:rsidRPr="008A4D2E">
      <w:rPr>
        <w:rFonts w:ascii="Tahoma" w:hAnsi="Tahoma" w:cs="Tahoma"/>
        <w:sz w:val="18"/>
        <w:szCs w:val="18"/>
      </w:rPr>
      <w:t>Tel</w:t>
    </w:r>
    <w:r w:rsidRPr="00981C58">
      <w:rPr>
        <w:rFonts w:ascii="Tahoma" w:hAnsi="Tahoma" w:cs="Tahoma"/>
        <w:sz w:val="18"/>
        <w:szCs w:val="18"/>
      </w:rPr>
      <w:t xml:space="preserve">.: +30 210-9211 200-10, </w:t>
    </w:r>
    <w:r w:rsidRPr="008A4D2E">
      <w:rPr>
        <w:rFonts w:ascii="Tahoma" w:hAnsi="Tahoma" w:cs="Tahoma"/>
        <w:sz w:val="18"/>
        <w:szCs w:val="18"/>
      </w:rPr>
      <w:t>Fax</w:t>
    </w:r>
    <w:r w:rsidRPr="00981C58">
      <w:rPr>
        <w:rFonts w:ascii="Tahoma" w:hAnsi="Tahoma" w:cs="Tahoma"/>
        <w:sz w:val="18"/>
        <w:szCs w:val="18"/>
      </w:rPr>
      <w:t>: +30210-9233 977</w:t>
    </w:r>
  </w:p>
  <w:p w14:paraId="70D6BF5D" w14:textId="77777777" w:rsidR="00542663" w:rsidRDefault="00542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18F8"/>
    <w:multiLevelType w:val="hybridMultilevel"/>
    <w:tmpl w:val="24C88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041B"/>
    <w:multiLevelType w:val="hybridMultilevel"/>
    <w:tmpl w:val="7728BBCC"/>
    <w:lvl w:ilvl="0" w:tplc="3A9A7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C6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43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44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0C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6C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888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205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A5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2942A0"/>
    <w:multiLevelType w:val="hybridMultilevel"/>
    <w:tmpl w:val="90F20EDC"/>
    <w:lvl w:ilvl="0" w:tplc="6D70C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4D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C4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8A2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4B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43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C86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28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29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012782"/>
    <w:multiLevelType w:val="multilevel"/>
    <w:tmpl w:val="C390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B81FFB"/>
    <w:multiLevelType w:val="hybridMultilevel"/>
    <w:tmpl w:val="31388EDA"/>
    <w:lvl w:ilvl="0" w:tplc="B9C65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EC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469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564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9A7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46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580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369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A0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255B57"/>
    <w:multiLevelType w:val="multilevel"/>
    <w:tmpl w:val="DE6C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397315"/>
    <w:multiLevelType w:val="hybridMultilevel"/>
    <w:tmpl w:val="5C3CCB0E"/>
    <w:lvl w:ilvl="0" w:tplc="982C5A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747F0"/>
    <w:multiLevelType w:val="hybridMultilevel"/>
    <w:tmpl w:val="2D50B71E"/>
    <w:lvl w:ilvl="0" w:tplc="98D23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B07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D01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FE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5EA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60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6D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83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6C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C08E3"/>
    <w:multiLevelType w:val="hybridMultilevel"/>
    <w:tmpl w:val="158ABD3E"/>
    <w:lvl w:ilvl="0" w:tplc="A4468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5C4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29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AA3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C9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301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C6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E0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EC6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1FE1F93"/>
    <w:multiLevelType w:val="hybridMultilevel"/>
    <w:tmpl w:val="C9F2DBC8"/>
    <w:lvl w:ilvl="0" w:tplc="982C5A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A63AD"/>
    <w:multiLevelType w:val="hybridMultilevel"/>
    <w:tmpl w:val="5ACA8878"/>
    <w:lvl w:ilvl="0" w:tplc="CD001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04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A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27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2F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2C2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E9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92C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E2A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0D660C"/>
    <w:multiLevelType w:val="hybridMultilevel"/>
    <w:tmpl w:val="2E08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E73F8"/>
    <w:multiLevelType w:val="hybridMultilevel"/>
    <w:tmpl w:val="8482E2B0"/>
    <w:lvl w:ilvl="0" w:tplc="FC6A2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380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6C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EA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E6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244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8E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9AF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DA9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B922DA3"/>
    <w:multiLevelType w:val="hybridMultilevel"/>
    <w:tmpl w:val="0102FCF6"/>
    <w:lvl w:ilvl="0" w:tplc="F9720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AD4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F8D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CC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0C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7C5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56D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8A3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EB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6B43071"/>
    <w:multiLevelType w:val="hybridMultilevel"/>
    <w:tmpl w:val="2E68AC8C"/>
    <w:lvl w:ilvl="0" w:tplc="E5929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6C0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B61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A7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78D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941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23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24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CB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060165">
    <w:abstractNumId w:val="11"/>
  </w:num>
  <w:num w:numId="2" w16cid:durableId="290324560">
    <w:abstractNumId w:val="9"/>
  </w:num>
  <w:num w:numId="3" w16cid:durableId="155924311">
    <w:abstractNumId w:val="6"/>
  </w:num>
  <w:num w:numId="4" w16cid:durableId="604532679">
    <w:abstractNumId w:val="5"/>
  </w:num>
  <w:num w:numId="5" w16cid:durableId="1802576239">
    <w:abstractNumId w:val="12"/>
  </w:num>
  <w:num w:numId="6" w16cid:durableId="97801408">
    <w:abstractNumId w:val="1"/>
  </w:num>
  <w:num w:numId="7" w16cid:durableId="1385329012">
    <w:abstractNumId w:val="14"/>
  </w:num>
  <w:num w:numId="8" w16cid:durableId="41369152">
    <w:abstractNumId w:val="13"/>
  </w:num>
  <w:num w:numId="9" w16cid:durableId="1390685535">
    <w:abstractNumId w:val="4"/>
  </w:num>
  <w:num w:numId="10" w16cid:durableId="2078624573">
    <w:abstractNumId w:val="2"/>
  </w:num>
  <w:num w:numId="11" w16cid:durableId="517818099">
    <w:abstractNumId w:val="10"/>
  </w:num>
  <w:num w:numId="12" w16cid:durableId="119149767">
    <w:abstractNumId w:val="7"/>
  </w:num>
  <w:num w:numId="13" w16cid:durableId="1851410046">
    <w:abstractNumId w:val="8"/>
  </w:num>
  <w:num w:numId="14" w16cid:durableId="1579900837">
    <w:abstractNumId w:val="3"/>
  </w:num>
  <w:num w:numId="15" w16cid:durableId="164018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FB"/>
    <w:rsid w:val="00003406"/>
    <w:rsid w:val="0000420E"/>
    <w:rsid w:val="00007095"/>
    <w:rsid w:val="00011A68"/>
    <w:rsid w:val="00026A6E"/>
    <w:rsid w:val="00032073"/>
    <w:rsid w:val="0003487A"/>
    <w:rsid w:val="00037266"/>
    <w:rsid w:val="00037F8E"/>
    <w:rsid w:val="00043DAA"/>
    <w:rsid w:val="00050E37"/>
    <w:rsid w:val="000537AF"/>
    <w:rsid w:val="000607A3"/>
    <w:rsid w:val="000656D7"/>
    <w:rsid w:val="000662B0"/>
    <w:rsid w:val="00066A0D"/>
    <w:rsid w:val="00072557"/>
    <w:rsid w:val="0007287F"/>
    <w:rsid w:val="00081306"/>
    <w:rsid w:val="00081E3D"/>
    <w:rsid w:val="00082BEF"/>
    <w:rsid w:val="00091363"/>
    <w:rsid w:val="00092333"/>
    <w:rsid w:val="00092656"/>
    <w:rsid w:val="0009530F"/>
    <w:rsid w:val="0009746D"/>
    <w:rsid w:val="000A241F"/>
    <w:rsid w:val="000A2DC6"/>
    <w:rsid w:val="000A4CC4"/>
    <w:rsid w:val="000C03F9"/>
    <w:rsid w:val="000C14DE"/>
    <w:rsid w:val="000C217A"/>
    <w:rsid w:val="000D2A63"/>
    <w:rsid w:val="000D3FF3"/>
    <w:rsid w:val="000E7A1F"/>
    <w:rsid w:val="000F1441"/>
    <w:rsid w:val="000F5ADA"/>
    <w:rsid w:val="00101CF0"/>
    <w:rsid w:val="00111AF9"/>
    <w:rsid w:val="00123CF9"/>
    <w:rsid w:val="00130B6B"/>
    <w:rsid w:val="00137948"/>
    <w:rsid w:val="001464FF"/>
    <w:rsid w:val="001542FC"/>
    <w:rsid w:val="001546E2"/>
    <w:rsid w:val="001552A4"/>
    <w:rsid w:val="00156D69"/>
    <w:rsid w:val="00157C3E"/>
    <w:rsid w:val="00161516"/>
    <w:rsid w:val="00166C77"/>
    <w:rsid w:val="00176151"/>
    <w:rsid w:val="00185BA9"/>
    <w:rsid w:val="001860A1"/>
    <w:rsid w:val="0019085F"/>
    <w:rsid w:val="00193DB7"/>
    <w:rsid w:val="001961E1"/>
    <w:rsid w:val="001A0376"/>
    <w:rsid w:val="001A10AE"/>
    <w:rsid w:val="001A74D5"/>
    <w:rsid w:val="001B0755"/>
    <w:rsid w:val="001C0DF3"/>
    <w:rsid w:val="001C5260"/>
    <w:rsid w:val="001C61FB"/>
    <w:rsid w:val="001C6B1E"/>
    <w:rsid w:val="001D1381"/>
    <w:rsid w:val="001D4EDC"/>
    <w:rsid w:val="001D6C86"/>
    <w:rsid w:val="001E027A"/>
    <w:rsid w:val="001E050E"/>
    <w:rsid w:val="001E6A98"/>
    <w:rsid w:val="001E7CE3"/>
    <w:rsid w:val="001F6247"/>
    <w:rsid w:val="00214F4C"/>
    <w:rsid w:val="00223055"/>
    <w:rsid w:val="002243F1"/>
    <w:rsid w:val="00224ED2"/>
    <w:rsid w:val="0022531F"/>
    <w:rsid w:val="0022596C"/>
    <w:rsid w:val="002328F4"/>
    <w:rsid w:val="002344FC"/>
    <w:rsid w:val="002350A3"/>
    <w:rsid w:val="00245C48"/>
    <w:rsid w:val="00255569"/>
    <w:rsid w:val="002565E2"/>
    <w:rsid w:val="00257AA1"/>
    <w:rsid w:val="0026164B"/>
    <w:rsid w:val="002749FD"/>
    <w:rsid w:val="00274EBA"/>
    <w:rsid w:val="002858A9"/>
    <w:rsid w:val="00286F03"/>
    <w:rsid w:val="00296D82"/>
    <w:rsid w:val="002A0A5B"/>
    <w:rsid w:val="002A5815"/>
    <w:rsid w:val="002B2EE8"/>
    <w:rsid w:val="002B776A"/>
    <w:rsid w:val="002C0DB6"/>
    <w:rsid w:val="002C119E"/>
    <w:rsid w:val="002C1487"/>
    <w:rsid w:val="002C2929"/>
    <w:rsid w:val="002D40FD"/>
    <w:rsid w:val="002D42F1"/>
    <w:rsid w:val="002E26C6"/>
    <w:rsid w:val="002E4469"/>
    <w:rsid w:val="002F7EC7"/>
    <w:rsid w:val="00301B2E"/>
    <w:rsid w:val="003022D5"/>
    <w:rsid w:val="00306641"/>
    <w:rsid w:val="00327D72"/>
    <w:rsid w:val="0033223C"/>
    <w:rsid w:val="003419CB"/>
    <w:rsid w:val="00355ED1"/>
    <w:rsid w:val="00361C77"/>
    <w:rsid w:val="0036266B"/>
    <w:rsid w:val="0036615E"/>
    <w:rsid w:val="003676E5"/>
    <w:rsid w:val="00371795"/>
    <w:rsid w:val="00372B34"/>
    <w:rsid w:val="003754D6"/>
    <w:rsid w:val="00380457"/>
    <w:rsid w:val="003818B6"/>
    <w:rsid w:val="00382267"/>
    <w:rsid w:val="003943D2"/>
    <w:rsid w:val="003A01AA"/>
    <w:rsid w:val="003B0B53"/>
    <w:rsid w:val="003B0CA7"/>
    <w:rsid w:val="003B3D1E"/>
    <w:rsid w:val="003B3FAC"/>
    <w:rsid w:val="003C58D4"/>
    <w:rsid w:val="003D240F"/>
    <w:rsid w:val="003D4502"/>
    <w:rsid w:val="003D4CD5"/>
    <w:rsid w:val="003E6760"/>
    <w:rsid w:val="003F2865"/>
    <w:rsid w:val="003F2A8F"/>
    <w:rsid w:val="003F35F0"/>
    <w:rsid w:val="003F58D1"/>
    <w:rsid w:val="00400343"/>
    <w:rsid w:val="0040154F"/>
    <w:rsid w:val="00407B24"/>
    <w:rsid w:val="00407EE0"/>
    <w:rsid w:val="0041159A"/>
    <w:rsid w:val="0041288E"/>
    <w:rsid w:val="00412DC0"/>
    <w:rsid w:val="00417328"/>
    <w:rsid w:val="00420097"/>
    <w:rsid w:val="00430CBD"/>
    <w:rsid w:val="00430F83"/>
    <w:rsid w:val="0044007D"/>
    <w:rsid w:val="00441F3A"/>
    <w:rsid w:val="00446578"/>
    <w:rsid w:val="00455066"/>
    <w:rsid w:val="004557EE"/>
    <w:rsid w:val="0045643C"/>
    <w:rsid w:val="00475349"/>
    <w:rsid w:val="0048152F"/>
    <w:rsid w:val="0048619B"/>
    <w:rsid w:val="00487B69"/>
    <w:rsid w:val="00493C8F"/>
    <w:rsid w:val="004A03C4"/>
    <w:rsid w:val="004A065E"/>
    <w:rsid w:val="004A317D"/>
    <w:rsid w:val="004A382D"/>
    <w:rsid w:val="004A463D"/>
    <w:rsid w:val="004C0265"/>
    <w:rsid w:val="004C1A93"/>
    <w:rsid w:val="004C6EEF"/>
    <w:rsid w:val="004C72E0"/>
    <w:rsid w:val="004D0EEB"/>
    <w:rsid w:val="004D19DE"/>
    <w:rsid w:val="004D4675"/>
    <w:rsid w:val="004D7BF0"/>
    <w:rsid w:val="004E1C22"/>
    <w:rsid w:val="004E2641"/>
    <w:rsid w:val="004E323C"/>
    <w:rsid w:val="004E48D7"/>
    <w:rsid w:val="004E591D"/>
    <w:rsid w:val="004F04C1"/>
    <w:rsid w:val="005011B3"/>
    <w:rsid w:val="0050171F"/>
    <w:rsid w:val="0051347B"/>
    <w:rsid w:val="00514E90"/>
    <w:rsid w:val="005171D5"/>
    <w:rsid w:val="00524E59"/>
    <w:rsid w:val="0052654D"/>
    <w:rsid w:val="00527161"/>
    <w:rsid w:val="005341C4"/>
    <w:rsid w:val="00534576"/>
    <w:rsid w:val="005361FE"/>
    <w:rsid w:val="00536703"/>
    <w:rsid w:val="0054118E"/>
    <w:rsid w:val="00542032"/>
    <w:rsid w:val="00542663"/>
    <w:rsid w:val="00547704"/>
    <w:rsid w:val="00564711"/>
    <w:rsid w:val="005672DD"/>
    <w:rsid w:val="0058403A"/>
    <w:rsid w:val="00585208"/>
    <w:rsid w:val="00591A51"/>
    <w:rsid w:val="00593881"/>
    <w:rsid w:val="005A166C"/>
    <w:rsid w:val="005A43EE"/>
    <w:rsid w:val="005B005E"/>
    <w:rsid w:val="005C4D16"/>
    <w:rsid w:val="005D3583"/>
    <w:rsid w:val="005D3821"/>
    <w:rsid w:val="005D5386"/>
    <w:rsid w:val="005F02CE"/>
    <w:rsid w:val="006252A3"/>
    <w:rsid w:val="006265BE"/>
    <w:rsid w:val="006271B0"/>
    <w:rsid w:val="00631B0E"/>
    <w:rsid w:val="00636731"/>
    <w:rsid w:val="00640B3A"/>
    <w:rsid w:val="00641BC4"/>
    <w:rsid w:val="00642F77"/>
    <w:rsid w:val="006520EB"/>
    <w:rsid w:val="006607FE"/>
    <w:rsid w:val="00661175"/>
    <w:rsid w:val="00662928"/>
    <w:rsid w:val="006653A9"/>
    <w:rsid w:val="006670A1"/>
    <w:rsid w:val="00673A9B"/>
    <w:rsid w:val="006776DD"/>
    <w:rsid w:val="00681B6A"/>
    <w:rsid w:val="00682CC0"/>
    <w:rsid w:val="00683F90"/>
    <w:rsid w:val="00686FB8"/>
    <w:rsid w:val="0069055A"/>
    <w:rsid w:val="00693B36"/>
    <w:rsid w:val="006A1D30"/>
    <w:rsid w:val="006B1C2F"/>
    <w:rsid w:val="006B6A6E"/>
    <w:rsid w:val="006D5F6F"/>
    <w:rsid w:val="006E4F0D"/>
    <w:rsid w:val="006E6C25"/>
    <w:rsid w:val="006E7151"/>
    <w:rsid w:val="006F1546"/>
    <w:rsid w:val="006F6D48"/>
    <w:rsid w:val="007015B3"/>
    <w:rsid w:val="007016C1"/>
    <w:rsid w:val="00703742"/>
    <w:rsid w:val="00703B73"/>
    <w:rsid w:val="00711765"/>
    <w:rsid w:val="00712B81"/>
    <w:rsid w:val="00722E13"/>
    <w:rsid w:val="0072485A"/>
    <w:rsid w:val="00726701"/>
    <w:rsid w:val="00730CC2"/>
    <w:rsid w:val="00734643"/>
    <w:rsid w:val="007373A1"/>
    <w:rsid w:val="00747D88"/>
    <w:rsid w:val="00755FB7"/>
    <w:rsid w:val="0075777E"/>
    <w:rsid w:val="007624F8"/>
    <w:rsid w:val="00762B22"/>
    <w:rsid w:val="00770604"/>
    <w:rsid w:val="0077200D"/>
    <w:rsid w:val="0077442E"/>
    <w:rsid w:val="00774500"/>
    <w:rsid w:val="00781B5B"/>
    <w:rsid w:val="00782F39"/>
    <w:rsid w:val="0078309F"/>
    <w:rsid w:val="007908B8"/>
    <w:rsid w:val="0079546C"/>
    <w:rsid w:val="007A43A5"/>
    <w:rsid w:val="007B3A4E"/>
    <w:rsid w:val="007B5B28"/>
    <w:rsid w:val="007C5044"/>
    <w:rsid w:val="007C6FA0"/>
    <w:rsid w:val="007C7DF6"/>
    <w:rsid w:val="007D709F"/>
    <w:rsid w:val="007E0A07"/>
    <w:rsid w:val="007E4E23"/>
    <w:rsid w:val="007E77A1"/>
    <w:rsid w:val="007F05C2"/>
    <w:rsid w:val="007F0E37"/>
    <w:rsid w:val="007F21B2"/>
    <w:rsid w:val="007F2CF9"/>
    <w:rsid w:val="007F6FE1"/>
    <w:rsid w:val="00804322"/>
    <w:rsid w:val="00806B53"/>
    <w:rsid w:val="008104C6"/>
    <w:rsid w:val="00811CA2"/>
    <w:rsid w:val="00812069"/>
    <w:rsid w:val="0081388C"/>
    <w:rsid w:val="008211D8"/>
    <w:rsid w:val="00823A5C"/>
    <w:rsid w:val="00837805"/>
    <w:rsid w:val="008400E0"/>
    <w:rsid w:val="0084049D"/>
    <w:rsid w:val="00841CCD"/>
    <w:rsid w:val="00846C00"/>
    <w:rsid w:val="00852892"/>
    <w:rsid w:val="00853EFE"/>
    <w:rsid w:val="008553E0"/>
    <w:rsid w:val="00855516"/>
    <w:rsid w:val="00862FC6"/>
    <w:rsid w:val="0086553D"/>
    <w:rsid w:val="00874F68"/>
    <w:rsid w:val="00875A72"/>
    <w:rsid w:val="00880EC0"/>
    <w:rsid w:val="008A0D12"/>
    <w:rsid w:val="008B2479"/>
    <w:rsid w:val="008B280C"/>
    <w:rsid w:val="008C5339"/>
    <w:rsid w:val="008C56EE"/>
    <w:rsid w:val="008D4463"/>
    <w:rsid w:val="008E318C"/>
    <w:rsid w:val="008F4AA0"/>
    <w:rsid w:val="008F4C6A"/>
    <w:rsid w:val="00904352"/>
    <w:rsid w:val="009153A7"/>
    <w:rsid w:val="00916C33"/>
    <w:rsid w:val="0091715F"/>
    <w:rsid w:val="00917BFC"/>
    <w:rsid w:val="009272E6"/>
    <w:rsid w:val="009275F3"/>
    <w:rsid w:val="00931B51"/>
    <w:rsid w:val="00932DF6"/>
    <w:rsid w:val="00933265"/>
    <w:rsid w:val="009352B1"/>
    <w:rsid w:val="0093550A"/>
    <w:rsid w:val="0094235F"/>
    <w:rsid w:val="0094310A"/>
    <w:rsid w:val="009437AE"/>
    <w:rsid w:val="009503B5"/>
    <w:rsid w:val="00960C7D"/>
    <w:rsid w:val="0096555B"/>
    <w:rsid w:val="00971CAE"/>
    <w:rsid w:val="00976B3F"/>
    <w:rsid w:val="00982358"/>
    <w:rsid w:val="00982AE2"/>
    <w:rsid w:val="00985037"/>
    <w:rsid w:val="00985B2F"/>
    <w:rsid w:val="00987ADA"/>
    <w:rsid w:val="0099133B"/>
    <w:rsid w:val="009937B5"/>
    <w:rsid w:val="009A533F"/>
    <w:rsid w:val="009B6A28"/>
    <w:rsid w:val="009C37C2"/>
    <w:rsid w:val="009C4B88"/>
    <w:rsid w:val="009C709F"/>
    <w:rsid w:val="009D13F1"/>
    <w:rsid w:val="009D3886"/>
    <w:rsid w:val="009D5600"/>
    <w:rsid w:val="009D669F"/>
    <w:rsid w:val="009E1664"/>
    <w:rsid w:val="009E455A"/>
    <w:rsid w:val="009E674F"/>
    <w:rsid w:val="009F3F3E"/>
    <w:rsid w:val="009F5B0B"/>
    <w:rsid w:val="009F5B22"/>
    <w:rsid w:val="00A00FD5"/>
    <w:rsid w:val="00A03E8A"/>
    <w:rsid w:val="00A07C9F"/>
    <w:rsid w:val="00A125E0"/>
    <w:rsid w:val="00A15701"/>
    <w:rsid w:val="00A16E2C"/>
    <w:rsid w:val="00A20C70"/>
    <w:rsid w:val="00A2461B"/>
    <w:rsid w:val="00A24F6E"/>
    <w:rsid w:val="00A25043"/>
    <w:rsid w:val="00A330C3"/>
    <w:rsid w:val="00A35B6C"/>
    <w:rsid w:val="00A3692A"/>
    <w:rsid w:val="00A36C8F"/>
    <w:rsid w:val="00A37443"/>
    <w:rsid w:val="00A5091A"/>
    <w:rsid w:val="00A51AD8"/>
    <w:rsid w:val="00A57CB7"/>
    <w:rsid w:val="00A6775E"/>
    <w:rsid w:val="00A80B4C"/>
    <w:rsid w:val="00A90114"/>
    <w:rsid w:val="00A90DA7"/>
    <w:rsid w:val="00A92E62"/>
    <w:rsid w:val="00A952C7"/>
    <w:rsid w:val="00AA1DB8"/>
    <w:rsid w:val="00AA55B9"/>
    <w:rsid w:val="00AA6A1C"/>
    <w:rsid w:val="00AC1D04"/>
    <w:rsid w:val="00AC4C4B"/>
    <w:rsid w:val="00AD1D90"/>
    <w:rsid w:val="00AD3030"/>
    <w:rsid w:val="00AD4BA7"/>
    <w:rsid w:val="00AE010E"/>
    <w:rsid w:val="00AE7C55"/>
    <w:rsid w:val="00AF211B"/>
    <w:rsid w:val="00B14399"/>
    <w:rsid w:val="00B35822"/>
    <w:rsid w:val="00B40B5E"/>
    <w:rsid w:val="00B4285C"/>
    <w:rsid w:val="00B6029F"/>
    <w:rsid w:val="00B623AF"/>
    <w:rsid w:val="00B74E26"/>
    <w:rsid w:val="00B77913"/>
    <w:rsid w:val="00B803F6"/>
    <w:rsid w:val="00B819AD"/>
    <w:rsid w:val="00B81F50"/>
    <w:rsid w:val="00B82C9D"/>
    <w:rsid w:val="00B84A93"/>
    <w:rsid w:val="00BA115E"/>
    <w:rsid w:val="00BC394D"/>
    <w:rsid w:val="00BC7BE2"/>
    <w:rsid w:val="00BD33C6"/>
    <w:rsid w:val="00BD4ED6"/>
    <w:rsid w:val="00BD7B72"/>
    <w:rsid w:val="00BE6E64"/>
    <w:rsid w:val="00BF7F67"/>
    <w:rsid w:val="00C007C3"/>
    <w:rsid w:val="00C03C59"/>
    <w:rsid w:val="00C10A09"/>
    <w:rsid w:val="00C2271A"/>
    <w:rsid w:val="00C24962"/>
    <w:rsid w:val="00C27569"/>
    <w:rsid w:val="00C44F2A"/>
    <w:rsid w:val="00C46499"/>
    <w:rsid w:val="00C46B2A"/>
    <w:rsid w:val="00C52E6C"/>
    <w:rsid w:val="00C5328E"/>
    <w:rsid w:val="00C54CA6"/>
    <w:rsid w:val="00C54F35"/>
    <w:rsid w:val="00C5631C"/>
    <w:rsid w:val="00C56B99"/>
    <w:rsid w:val="00C75E64"/>
    <w:rsid w:val="00C8150E"/>
    <w:rsid w:val="00C82C09"/>
    <w:rsid w:val="00C83E33"/>
    <w:rsid w:val="00C92070"/>
    <w:rsid w:val="00C92079"/>
    <w:rsid w:val="00C94AA6"/>
    <w:rsid w:val="00CA0B71"/>
    <w:rsid w:val="00CA1E35"/>
    <w:rsid w:val="00CC1411"/>
    <w:rsid w:val="00CC40A1"/>
    <w:rsid w:val="00CC6F71"/>
    <w:rsid w:val="00CD19EE"/>
    <w:rsid w:val="00CD3A02"/>
    <w:rsid w:val="00CD4B4C"/>
    <w:rsid w:val="00CE0909"/>
    <w:rsid w:val="00CE2659"/>
    <w:rsid w:val="00CE40A7"/>
    <w:rsid w:val="00CF0530"/>
    <w:rsid w:val="00CF216A"/>
    <w:rsid w:val="00D105D3"/>
    <w:rsid w:val="00D116E8"/>
    <w:rsid w:val="00D149B8"/>
    <w:rsid w:val="00D151BA"/>
    <w:rsid w:val="00D16418"/>
    <w:rsid w:val="00D33735"/>
    <w:rsid w:val="00D3694F"/>
    <w:rsid w:val="00D37E87"/>
    <w:rsid w:val="00D44896"/>
    <w:rsid w:val="00D45D55"/>
    <w:rsid w:val="00D5249A"/>
    <w:rsid w:val="00D53760"/>
    <w:rsid w:val="00D60B74"/>
    <w:rsid w:val="00D76022"/>
    <w:rsid w:val="00D80CFE"/>
    <w:rsid w:val="00D82327"/>
    <w:rsid w:val="00D82DF0"/>
    <w:rsid w:val="00D850F1"/>
    <w:rsid w:val="00D92A12"/>
    <w:rsid w:val="00D93B31"/>
    <w:rsid w:val="00D977D3"/>
    <w:rsid w:val="00DA0516"/>
    <w:rsid w:val="00DA0CC5"/>
    <w:rsid w:val="00DA1BF8"/>
    <w:rsid w:val="00DA69C9"/>
    <w:rsid w:val="00DB3F06"/>
    <w:rsid w:val="00DB4105"/>
    <w:rsid w:val="00DB4D26"/>
    <w:rsid w:val="00DB59D1"/>
    <w:rsid w:val="00DC6060"/>
    <w:rsid w:val="00DD167E"/>
    <w:rsid w:val="00DD21C7"/>
    <w:rsid w:val="00DD634E"/>
    <w:rsid w:val="00DD6569"/>
    <w:rsid w:val="00DE1F62"/>
    <w:rsid w:val="00DE4AA6"/>
    <w:rsid w:val="00DF4818"/>
    <w:rsid w:val="00DF77B3"/>
    <w:rsid w:val="00E0072B"/>
    <w:rsid w:val="00E0136B"/>
    <w:rsid w:val="00E02700"/>
    <w:rsid w:val="00E06E38"/>
    <w:rsid w:val="00E1495E"/>
    <w:rsid w:val="00E23B16"/>
    <w:rsid w:val="00E27EC9"/>
    <w:rsid w:val="00E30D4C"/>
    <w:rsid w:val="00E33C93"/>
    <w:rsid w:val="00E3600A"/>
    <w:rsid w:val="00E4111B"/>
    <w:rsid w:val="00E4669F"/>
    <w:rsid w:val="00E562E9"/>
    <w:rsid w:val="00E57B64"/>
    <w:rsid w:val="00E57F58"/>
    <w:rsid w:val="00E63711"/>
    <w:rsid w:val="00E64CAF"/>
    <w:rsid w:val="00E72272"/>
    <w:rsid w:val="00E80ABA"/>
    <w:rsid w:val="00E81ED0"/>
    <w:rsid w:val="00E83D6E"/>
    <w:rsid w:val="00E86D5B"/>
    <w:rsid w:val="00E90CF5"/>
    <w:rsid w:val="00E95374"/>
    <w:rsid w:val="00E978A0"/>
    <w:rsid w:val="00EA2EB9"/>
    <w:rsid w:val="00EC62AD"/>
    <w:rsid w:val="00EC6494"/>
    <w:rsid w:val="00EC7154"/>
    <w:rsid w:val="00ED2083"/>
    <w:rsid w:val="00EE0809"/>
    <w:rsid w:val="00EE10EC"/>
    <w:rsid w:val="00EE6645"/>
    <w:rsid w:val="00EF3787"/>
    <w:rsid w:val="00EF71DF"/>
    <w:rsid w:val="00F02177"/>
    <w:rsid w:val="00F061F7"/>
    <w:rsid w:val="00F162CB"/>
    <w:rsid w:val="00F268FD"/>
    <w:rsid w:val="00F2796D"/>
    <w:rsid w:val="00F30A87"/>
    <w:rsid w:val="00F34362"/>
    <w:rsid w:val="00F60887"/>
    <w:rsid w:val="00F6196D"/>
    <w:rsid w:val="00F62724"/>
    <w:rsid w:val="00F668CE"/>
    <w:rsid w:val="00F67CAE"/>
    <w:rsid w:val="00F702D9"/>
    <w:rsid w:val="00F70CB9"/>
    <w:rsid w:val="00F77061"/>
    <w:rsid w:val="00F932E2"/>
    <w:rsid w:val="00F97A2B"/>
    <w:rsid w:val="00FA05D8"/>
    <w:rsid w:val="00FA1D45"/>
    <w:rsid w:val="00FA3F20"/>
    <w:rsid w:val="00FA5818"/>
    <w:rsid w:val="00FB0736"/>
    <w:rsid w:val="00FC1D33"/>
    <w:rsid w:val="00FC4B9F"/>
    <w:rsid w:val="00FC63E7"/>
    <w:rsid w:val="00FD036A"/>
    <w:rsid w:val="00FD1649"/>
    <w:rsid w:val="00FD2B5B"/>
    <w:rsid w:val="00FD7180"/>
    <w:rsid w:val="00FE1048"/>
    <w:rsid w:val="00FE3475"/>
    <w:rsid w:val="00FE3583"/>
    <w:rsid w:val="00FF1142"/>
    <w:rsid w:val="00FF347C"/>
    <w:rsid w:val="26C5F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D6C4E"/>
  <w15:docId w15:val="{755D4EEE-8FE3-4FF9-8C09-C5C0DD98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R Caption,Fig Caption"/>
    <w:basedOn w:val="Normal"/>
    <w:next w:val="Normal"/>
    <w:autoRedefine/>
    <w:uiPriority w:val="35"/>
    <w:qFormat/>
    <w:rsid w:val="009D5600"/>
    <w:pPr>
      <w:keepNext/>
      <w:spacing w:before="240" w:after="240" w:line="240" w:lineRule="auto"/>
      <w:jc w:val="both"/>
    </w:pPr>
    <w:rPr>
      <w:rFonts w:ascii="Calibri" w:eastAsia="Calibri" w:hAnsi="Calibri" w:cs="Arial"/>
      <w:b/>
      <w:bCs/>
      <w:color w:val="4F81BD"/>
      <w:szCs w:val="24"/>
      <w:lang w:val="el-GR"/>
    </w:rPr>
  </w:style>
  <w:style w:type="character" w:styleId="Strong">
    <w:name w:val="Strong"/>
    <w:basedOn w:val="DefaultParagraphFont"/>
    <w:uiPriority w:val="22"/>
    <w:qFormat/>
    <w:rsid w:val="002D40FD"/>
    <w:rPr>
      <w:b/>
      <w:bCs/>
    </w:rPr>
  </w:style>
  <w:style w:type="paragraph" w:styleId="ListParagraph">
    <w:name w:val="List Paragraph"/>
    <w:basedOn w:val="Normal"/>
    <w:uiPriority w:val="34"/>
    <w:qFormat/>
    <w:rsid w:val="002D40FD"/>
    <w:pPr>
      <w:spacing w:after="120" w:line="276" w:lineRule="auto"/>
      <w:ind w:left="720"/>
      <w:contextualSpacing/>
      <w:jc w:val="both"/>
    </w:pPr>
    <w:rPr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5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2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1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11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2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663"/>
  </w:style>
  <w:style w:type="paragraph" w:styleId="Footer">
    <w:name w:val="footer"/>
    <w:basedOn w:val="Normal"/>
    <w:link w:val="FooterChar"/>
    <w:uiPriority w:val="99"/>
    <w:unhideWhenUsed/>
    <w:rsid w:val="00542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663"/>
  </w:style>
  <w:style w:type="character" w:styleId="PageNumber">
    <w:name w:val="page number"/>
    <w:basedOn w:val="DefaultParagraphFont"/>
    <w:rsid w:val="00542663"/>
  </w:style>
  <w:style w:type="paragraph" w:styleId="BodyText">
    <w:name w:val="Body Text"/>
    <w:basedOn w:val="Normal"/>
    <w:link w:val="BodyTextChar"/>
    <w:rsid w:val="00542663"/>
    <w:pPr>
      <w:spacing w:after="0" w:line="240" w:lineRule="auto"/>
    </w:pPr>
    <w:rPr>
      <w:rFonts w:ascii="Times New Roman" w:eastAsia="Times New Roman" w:hAnsi="Times New Roman" w:cs="Times New Roman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rsid w:val="00542663"/>
    <w:rPr>
      <w:rFonts w:ascii="Times New Roman" w:eastAsia="Times New Roman" w:hAnsi="Times New Roman" w:cs="Times New Roman"/>
      <w:szCs w:val="20"/>
      <w:lang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3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2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Revision">
    <w:name w:val="Revision"/>
    <w:hidden/>
    <w:uiPriority w:val="99"/>
    <w:semiHidden/>
    <w:rsid w:val="00E57B6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C1A9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52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727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041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449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388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08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447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92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963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0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779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0667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22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965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207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661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665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99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46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04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http://www.iobe.g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obe.gr/wp-content/uploads/2025/12/RES_04_18122025_PRE_GR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obe2020.sharepoint.com/sites/Digitalpayments/Shared%20Documents/E-payments%202025/data/aggregate%20descriptives/ECB%20-%20PCP%20dataset_2025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obe2020.sharepoint.com/sites/Digitalpayments/Shared%20Documents/E-payments%202025/data/aggregate%20descriptives/ECB%20cross%20country%20data_Sep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obe2020.sharepoint.com/sites/Digitalpayments/Shared%20Documents/E-payments%202025/data/aggregate%20descriptives/ECB%20-%20PCP%20dataset_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obe2020.sharepoint.com/sites/Digitalpayments/Shared%20Documents/E-payments%202025/data/aggregate%20descriptives/ECB%20-%20PCP%20dataset_202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iobe2020.sharepoint.com/sites/Digitalpayments/Shared%20Documents/E-payments%202025/data/aggregate%20descriptives/ECB%20cross%20country%20data_Sep20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553149606299214E-2"/>
          <c:y val="0.17524624374714246"/>
          <c:w val="0.88389129483814521"/>
          <c:h val="0.71735437185898376"/>
        </c:manualLayout>
      </c:layout>
      <c:barChart>
        <c:barDir val="col"/>
        <c:grouping val="clustered"/>
        <c:varyColors val="0"/>
        <c:ser>
          <c:idx val="1"/>
          <c:order val="0"/>
          <c:tx>
            <c:v>Ευρωζώνη</c:v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graph1!$A$3:$A$13</c:f>
              <c:strCach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strCache>
            </c:strRef>
          </c:cat>
          <c:val>
            <c:numRef>
              <c:f>graph1!$C$3:$C$13</c:f>
              <c:numCache>
                <c:formatCode>0.0%</c:formatCode>
                <c:ptCount val="11"/>
                <c:pt idx="0">
                  <c:v>0.23557594625634357</c:v>
                </c:pt>
                <c:pt idx="1">
                  <c:v>0.24863601813517672</c:v>
                </c:pt>
                <c:pt idx="2">
                  <c:v>0.26068554700453339</c:v>
                </c:pt>
                <c:pt idx="3">
                  <c:v>0.27089661730590536</c:v>
                </c:pt>
                <c:pt idx="4">
                  <c:v>0.28802460365763727</c:v>
                </c:pt>
                <c:pt idx="5">
                  <c:v>0.30482404357164311</c:v>
                </c:pt>
                <c:pt idx="6">
                  <c:v>0.32699192777172759</c:v>
                </c:pt>
                <c:pt idx="7">
                  <c:v>0.34912269300935039</c:v>
                </c:pt>
                <c:pt idx="8">
                  <c:v>0.37661195932566505</c:v>
                </c:pt>
                <c:pt idx="9">
                  <c:v>0.39047801857318026</c:v>
                </c:pt>
                <c:pt idx="10">
                  <c:v>0.40772945351209661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27-4465-B361-B63623190CB4}"/>
            </c:ext>
          </c:extLst>
        </c:ser>
        <c:ser>
          <c:idx val="2"/>
          <c:order val="1"/>
          <c:tx>
            <c:v>Ελλάδα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graph1!$A$3:$A$13</c:f>
              <c:strCach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strCache>
            </c:strRef>
          </c:cat>
          <c:val>
            <c:numRef>
              <c:f>graph1!$B$3:$B$13</c:f>
              <c:numCache>
                <c:formatCode>0.0%</c:formatCode>
                <c:ptCount val="11"/>
                <c:pt idx="0">
                  <c:v>5.0319927571710485E-2</c:v>
                </c:pt>
                <c:pt idx="1">
                  <c:v>7.4389235584448862E-2</c:v>
                </c:pt>
                <c:pt idx="2">
                  <c:v>0.12980554105702694</c:v>
                </c:pt>
                <c:pt idx="3">
                  <c:v>0.17592323656545786</c:v>
                </c:pt>
                <c:pt idx="4">
                  <c:v>0.18510654426816786</c:v>
                </c:pt>
                <c:pt idx="5">
                  <c:v>0.20416409936920801</c:v>
                </c:pt>
                <c:pt idx="6">
                  <c:v>0.30879070583946633</c:v>
                </c:pt>
                <c:pt idx="7">
                  <c:v>0.35447935449043594</c:v>
                </c:pt>
                <c:pt idx="8">
                  <c:v>0.3565648147956868</c:v>
                </c:pt>
                <c:pt idx="9">
                  <c:v>0.37137768177633412</c:v>
                </c:pt>
                <c:pt idx="10">
                  <c:v>0.3977850121055459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27-4465-B361-B63623190C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81929040"/>
        <c:axId val="781933304"/>
      </c:barChart>
      <c:catAx>
        <c:axId val="781929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781933304"/>
        <c:crosses val="autoZero"/>
        <c:auto val="1"/>
        <c:lblAlgn val="ctr"/>
        <c:lblOffset val="100"/>
        <c:noMultiLvlLbl val="0"/>
      </c:catAx>
      <c:valAx>
        <c:axId val="781933304"/>
        <c:scaling>
          <c:orientation val="minMax"/>
          <c:max val="0.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781929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4239482013277752"/>
          <c:y val="0.17368427740708922"/>
          <c:w val="0.25941186843648056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Pt>
            <c:idx val="25"/>
            <c:invertIfNegative val="0"/>
            <c:bubble3D val="0"/>
            <c:spPr>
              <a:solidFill>
                <a:schemeClr val="accent5"/>
              </a:solidFill>
              <a:ln>
                <a:solidFill>
                  <a:schemeClr val="accent5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252-4F8B-85C7-4A840CDC162B}"/>
              </c:ext>
            </c:extLst>
          </c:dPt>
          <c:cat>
            <c:strRef>
              <c:f>value_w0!$F$47:$F$73</c:f>
              <c:strCache>
                <c:ptCount val="27"/>
                <c:pt idx="0">
                  <c:v>SE</c:v>
                </c:pt>
                <c:pt idx="1">
                  <c:v>FI</c:v>
                </c:pt>
                <c:pt idx="2">
                  <c:v>NL</c:v>
                </c:pt>
                <c:pt idx="3">
                  <c:v>FR</c:v>
                </c:pt>
                <c:pt idx="4">
                  <c:v>DK</c:v>
                </c:pt>
                <c:pt idx="5">
                  <c:v>BE</c:v>
                </c:pt>
                <c:pt idx="6">
                  <c:v>SK</c:v>
                </c:pt>
                <c:pt idx="7">
                  <c:v>PT</c:v>
                </c:pt>
                <c:pt idx="8">
                  <c:v>AT</c:v>
                </c:pt>
                <c:pt idx="9">
                  <c:v>DE</c:v>
                </c:pt>
                <c:pt idx="10">
                  <c:v>EE</c:v>
                </c:pt>
                <c:pt idx="11">
                  <c:v>IT</c:v>
                </c:pt>
                <c:pt idx="12">
                  <c:v>LV</c:v>
                </c:pt>
                <c:pt idx="13">
                  <c:v>SI</c:v>
                </c:pt>
                <c:pt idx="14">
                  <c:v>LU</c:v>
                </c:pt>
                <c:pt idx="15">
                  <c:v>ES</c:v>
                </c:pt>
                <c:pt idx="16">
                  <c:v>HR</c:v>
                </c:pt>
                <c:pt idx="17">
                  <c:v>PL</c:v>
                </c:pt>
                <c:pt idx="18">
                  <c:v>CY</c:v>
                </c:pt>
                <c:pt idx="19">
                  <c:v>CZ</c:v>
                </c:pt>
                <c:pt idx="20">
                  <c:v>HU</c:v>
                </c:pt>
                <c:pt idx="21">
                  <c:v>MT</c:v>
                </c:pt>
                <c:pt idx="22">
                  <c:v>IE</c:v>
                </c:pt>
                <c:pt idx="23">
                  <c:v>BG</c:v>
                </c:pt>
                <c:pt idx="24">
                  <c:v>RO</c:v>
                </c:pt>
                <c:pt idx="25">
                  <c:v>GR</c:v>
                </c:pt>
                <c:pt idx="26">
                  <c:v>LT</c:v>
                </c:pt>
              </c:strCache>
            </c:strRef>
          </c:cat>
          <c:val>
            <c:numRef>
              <c:f>value_w0!$G$47:$G$73</c:f>
              <c:numCache>
                <c:formatCode>General</c:formatCode>
                <c:ptCount val="27"/>
                <c:pt idx="0">
                  <c:v>1.3893156653601326</c:v>
                </c:pt>
                <c:pt idx="1">
                  <c:v>1.7365563326008562</c:v>
                </c:pt>
                <c:pt idx="2">
                  <c:v>1.7952294764364074</c:v>
                </c:pt>
                <c:pt idx="3">
                  <c:v>1.9070518005652235</c:v>
                </c:pt>
                <c:pt idx="4">
                  <c:v>2.0466280015219431</c:v>
                </c:pt>
                <c:pt idx="5">
                  <c:v>2.0783444781413896</c:v>
                </c:pt>
                <c:pt idx="6">
                  <c:v>2.2713562607696729</c:v>
                </c:pt>
                <c:pt idx="7">
                  <c:v>2.363609276826184</c:v>
                </c:pt>
                <c:pt idx="8">
                  <c:v>2.4458621015395323</c:v>
                </c:pt>
                <c:pt idx="9">
                  <c:v>2.4525975193254812</c:v>
                </c:pt>
                <c:pt idx="10">
                  <c:v>2.5435366052286912</c:v>
                </c:pt>
                <c:pt idx="11">
                  <c:v>2.6727979728015985</c:v>
                </c:pt>
                <c:pt idx="12">
                  <c:v>2.706457970686921</c:v>
                </c:pt>
                <c:pt idx="13">
                  <c:v>2.798921200527166</c:v>
                </c:pt>
                <c:pt idx="14">
                  <c:v>3.0819564906621504</c:v>
                </c:pt>
                <c:pt idx="15">
                  <c:v>3.083382246339752</c:v>
                </c:pt>
                <c:pt idx="16">
                  <c:v>3.5197245958652452</c:v>
                </c:pt>
                <c:pt idx="17">
                  <c:v>4.9587219092182142</c:v>
                </c:pt>
                <c:pt idx="18">
                  <c:v>5.1176430575035061</c:v>
                </c:pt>
                <c:pt idx="19">
                  <c:v>5.2824648077977603</c:v>
                </c:pt>
                <c:pt idx="20">
                  <c:v>5.7602085994805314</c:v>
                </c:pt>
                <c:pt idx="21">
                  <c:v>6.159190168070646</c:v>
                </c:pt>
                <c:pt idx="22">
                  <c:v>6.2217181636995917</c:v>
                </c:pt>
                <c:pt idx="23">
                  <c:v>8.9809826295467818</c:v>
                </c:pt>
                <c:pt idx="24">
                  <c:v>9.2482639627904391</c:v>
                </c:pt>
                <c:pt idx="25">
                  <c:v>10.73228918456228</c:v>
                </c:pt>
                <c:pt idx="26">
                  <c:v>24.582342288711683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52-4F8B-85C7-4A840CDC16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3453328"/>
        <c:axId val="593456568"/>
      </c:barChart>
      <c:catAx>
        <c:axId val="59345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593456568"/>
        <c:crosses val="autoZero"/>
        <c:auto val="1"/>
        <c:lblAlgn val="ctr"/>
        <c:lblOffset val="100"/>
        <c:noMultiLvlLbl val="0"/>
      </c:catAx>
      <c:valAx>
        <c:axId val="593456568"/>
        <c:scaling>
          <c:orientation val="minMax"/>
          <c:max val="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593453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000" b="1" dirty="0" err="1">
                <a:solidFill>
                  <a:sysClr val="windowText" lastClr="000000"/>
                </a:solidFill>
              </a:rPr>
              <a:t>Αξί</a:t>
            </a:r>
            <a:r>
              <a:rPr lang="en-US" sz="1000" b="1" dirty="0">
                <a:solidFill>
                  <a:sysClr val="windowText" lastClr="000000"/>
                </a:solidFill>
              </a:rPr>
              <a:t>α συναλλαγών με κάρτ</a:t>
            </a:r>
            <a:r>
              <a:rPr lang="el-GR" sz="1000" b="1" dirty="0">
                <a:solidFill>
                  <a:sysClr val="windowText" lastClr="000000"/>
                </a:solidFill>
              </a:rPr>
              <a:t>α</a:t>
            </a:r>
            <a:r>
              <a:rPr lang="en-US" sz="1000" b="1" dirty="0">
                <a:solidFill>
                  <a:sysClr val="windowText" lastClr="000000"/>
                </a:solidFill>
              </a:rPr>
              <a:t> </a:t>
            </a:r>
          </a:p>
          <a:p>
            <a:pPr>
              <a:defRPr sz="1000" b="1">
                <a:solidFill>
                  <a:sysClr val="windowText" lastClr="000000"/>
                </a:solidFill>
              </a:defRPr>
            </a:pPr>
            <a:r>
              <a:rPr lang="el-GR" sz="1000" b="1" baseline="0" dirty="0">
                <a:solidFill>
                  <a:sysClr val="windowText" lastClr="000000"/>
                </a:solidFill>
              </a:rPr>
              <a:t>(</a:t>
            </a:r>
            <a:r>
              <a:rPr lang="en-US" sz="1000" b="1" baseline="0" dirty="0" err="1">
                <a:solidFill>
                  <a:sysClr val="windowText" lastClr="000000"/>
                </a:solidFill>
              </a:rPr>
              <a:t>Δείκτης</a:t>
            </a:r>
            <a:r>
              <a:rPr lang="el-GR" sz="1000" b="1" baseline="0" dirty="0">
                <a:solidFill>
                  <a:sysClr val="windowText" lastClr="000000"/>
                </a:solidFill>
              </a:rPr>
              <a:t> 2014=100)</a:t>
            </a:r>
            <a:endParaRPr lang="en-US" sz="1000" b="1" dirty="0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090242818008405"/>
          <c:y val="0.1464433416046319"/>
          <c:w val="0.78900649713867732"/>
          <c:h val="0.7276127859948027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Pt>
            <c:idx val="2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3="http://schemas.microsoft.com/office/drawing/2017/03/chart"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F4F0-4D78-9F12-101C35501C65}"/>
              </c:ext>
            </c:extLst>
          </c:dPt>
          <c:cat>
            <c:strRef>
              <c:f>slide5_value!$A$217:$A$241</c:f>
              <c:strCach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strCache>
            </c:strRef>
          </c:cat>
          <c:val>
            <c:numRef>
              <c:f>slide5_value!$Q$64:$Q$88</c:f>
              <c:numCache>
                <c:formatCode>0.0</c:formatCode>
                <c:ptCount val="25"/>
                <c:pt idx="0">
                  <c:v>51.688217152776389</c:v>
                </c:pt>
                <c:pt idx="1">
                  <c:v>47.611854689851157</c:v>
                </c:pt>
                <c:pt idx="2">
                  <c:v>50.614147891014753</c:v>
                </c:pt>
                <c:pt idx="3">
                  <c:v>88.103618496324515</c:v>
                </c:pt>
                <c:pt idx="4">
                  <c:v>99.075340062720784</c:v>
                </c:pt>
                <c:pt idx="5">
                  <c:v>121.44623455428251</c:v>
                </c:pt>
                <c:pt idx="6">
                  <c:v>122.94412127106685</c:v>
                </c:pt>
                <c:pt idx="7">
                  <c:v>141.18447515205133</c:v>
                </c:pt>
                <c:pt idx="8">
                  <c:v>149.98565984585298</c:v>
                </c:pt>
                <c:pt idx="9">
                  <c:v>140.23832549759811</c:v>
                </c:pt>
                <c:pt idx="10">
                  <c:v>119.00952736736502</c:v>
                </c:pt>
                <c:pt idx="11">
                  <c:v>104.45717499872188</c:v>
                </c:pt>
                <c:pt idx="12">
                  <c:v>97.662244655580011</c:v>
                </c:pt>
                <c:pt idx="13">
                  <c:v>94.979049512163911</c:v>
                </c:pt>
                <c:pt idx="14">
                  <c:v>100</c:v>
                </c:pt>
                <c:pt idx="15">
                  <c:v>146.4729264030299</c:v>
                </c:pt>
                <c:pt idx="16">
                  <c:v>254.27986601851671</c:v>
                </c:pt>
                <c:pt idx="17">
                  <c:v>354.51481680781251</c:v>
                </c:pt>
                <c:pt idx="18">
                  <c:v>381.75065466125903</c:v>
                </c:pt>
                <c:pt idx="19">
                  <c:v>432.34626076651642</c:v>
                </c:pt>
                <c:pt idx="20">
                  <c:v>606.27101087878054</c:v>
                </c:pt>
                <c:pt idx="21">
                  <c:v>738.54398454572299</c:v>
                </c:pt>
                <c:pt idx="22">
                  <c:v>853.92650950448251</c:v>
                </c:pt>
                <c:pt idx="23">
                  <c:v>947.29551534584721</c:v>
                </c:pt>
                <c:pt idx="24">
                  <c:v>1073.2289171201073</c:v>
                </c:pt>
              </c:numCache>
            </c:numRef>
          </c:val>
          <c:extLst xmlns:c16r3="http://schemas.microsoft.com/office/drawing/2017/03/chart"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4-F4F0-4D78-9F12-101C35501C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-27"/>
        <c:axId val="1093784832"/>
        <c:axId val="715731584"/>
      </c:barChart>
      <c:catAx>
        <c:axId val="1093784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715731584"/>
        <c:crosses val="autoZero"/>
        <c:auto val="1"/>
        <c:lblAlgn val="ctr"/>
        <c:lblOffset val="100"/>
        <c:noMultiLvlLbl val="0"/>
      </c:catAx>
      <c:valAx>
        <c:axId val="715731584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093784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3="http://schemas.microsoft.com/office/drawing/2017/03/chart"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000" b="1">
                <a:solidFill>
                  <a:sysClr val="windowText" lastClr="000000"/>
                </a:solidFill>
              </a:rPr>
              <a:t>Αριθμός </a:t>
            </a:r>
            <a:r>
              <a:rPr lang="en-US" sz="1000" b="1" baseline="0">
                <a:solidFill>
                  <a:sysClr val="windowText" lastClr="000000"/>
                </a:solidFill>
              </a:rPr>
              <a:t>συναλλαγών</a:t>
            </a:r>
            <a:r>
              <a:rPr lang="en-US" sz="1000" b="1">
                <a:solidFill>
                  <a:sysClr val="windowText" lastClr="000000"/>
                </a:solidFill>
              </a:rPr>
              <a:t> με </a:t>
            </a:r>
            <a:r>
              <a:rPr lang="en-US" sz="1000" b="1" baseline="0">
                <a:solidFill>
                  <a:sysClr val="windowText" lastClr="000000"/>
                </a:solidFill>
              </a:rPr>
              <a:t>κάρτα </a:t>
            </a:r>
            <a:r>
              <a:rPr lang="el-GR" sz="1000" b="1" baseline="0">
                <a:solidFill>
                  <a:sysClr val="windowText" lastClr="000000"/>
                </a:solidFill>
              </a:rPr>
              <a:t>(</a:t>
            </a:r>
            <a:r>
              <a:rPr lang="en-US" sz="1000" b="1" baseline="0">
                <a:solidFill>
                  <a:sysClr val="windowText" lastClr="000000"/>
                </a:solidFill>
              </a:rPr>
              <a:t>Δείκτης</a:t>
            </a:r>
            <a:r>
              <a:rPr lang="el-GR" sz="1000" b="1" baseline="0">
                <a:solidFill>
                  <a:sysClr val="windowText" lastClr="000000"/>
                </a:solidFill>
              </a:rPr>
              <a:t> 2014=100)</a:t>
            </a:r>
            <a:endParaRPr lang="en-US" sz="10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6603365755751116E-2"/>
          <c:y val="0.13974476904656258"/>
          <c:w val="0.88643584993052338"/>
          <c:h val="0.7599564008332906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slide5_nr!$A$72:$A$96</c:f>
              <c:strCach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strCache>
            </c:strRef>
          </c:cat>
          <c:val>
            <c:numRef>
              <c:f>slide5_nr!$S$72:$S$96</c:f>
              <c:numCache>
                <c:formatCode>0.0</c:formatCode>
                <c:ptCount val="25"/>
                <c:pt idx="0">
                  <c:v>57.7201331077014</c:v>
                </c:pt>
                <c:pt idx="1">
                  <c:v>55.931356403820594</c:v>
                </c:pt>
                <c:pt idx="2">
                  <c:v>53.746209496984633</c:v>
                </c:pt>
                <c:pt idx="3">
                  <c:v>67.258004065917831</c:v>
                </c:pt>
                <c:pt idx="4">
                  <c:v>73.38527410873489</c:v>
                </c:pt>
                <c:pt idx="5">
                  <c:v>76.308646321934361</c:v>
                </c:pt>
                <c:pt idx="6">
                  <c:v>81.401265204601984</c:v>
                </c:pt>
                <c:pt idx="7">
                  <c:v>88.060057468000764</c:v>
                </c:pt>
                <c:pt idx="8">
                  <c:v>96.923304069325027</c:v>
                </c:pt>
                <c:pt idx="9">
                  <c:v>95.932946427557383</c:v>
                </c:pt>
                <c:pt idx="10">
                  <c:v>89.709139229292774</c:v>
                </c:pt>
                <c:pt idx="11">
                  <c:v>85.146906835966334</c:v>
                </c:pt>
                <c:pt idx="12">
                  <c:v>84.033890220218282</c:v>
                </c:pt>
                <c:pt idx="13">
                  <c:v>88.236095810287452</c:v>
                </c:pt>
                <c:pt idx="14">
                  <c:v>100</c:v>
                </c:pt>
                <c:pt idx="15">
                  <c:v>163.99731967427226</c:v>
                </c:pt>
                <c:pt idx="16">
                  <c:v>342.46385535326914</c:v>
                </c:pt>
                <c:pt idx="17">
                  <c:v>573.66352826267189</c:v>
                </c:pt>
                <c:pt idx="18">
                  <c:v>716.79065066042767</c:v>
                </c:pt>
                <c:pt idx="19">
                  <c:v>899.57977944099287</c:v>
                </c:pt>
                <c:pt idx="20">
                  <c:v>1271.261456688889</c:v>
                </c:pt>
                <c:pt idx="21">
                  <c:v>1695.4195959068245</c:v>
                </c:pt>
                <c:pt idx="22">
                  <c:v>2012.0438676191661</c:v>
                </c:pt>
                <c:pt idx="23">
                  <c:v>2274.8261127326828</c:v>
                </c:pt>
                <c:pt idx="24">
                  <c:v>2593.7521277924793</c:v>
                </c:pt>
              </c:numCache>
            </c:numRef>
          </c:val>
          <c:extLst xmlns:c16r3="http://schemas.microsoft.com/office/drawing/2017/03/chart" xmlns:c16="http://schemas.microsoft.com/office/drawing/2014/chart" xmlns:c15="http://schemas.microsoft.com/office/drawing/2012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2-5D25-4E97-A0A9-D96A2C5C48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-27"/>
        <c:axId val="1093784832"/>
        <c:axId val="715731584"/>
      </c:barChart>
      <c:catAx>
        <c:axId val="1093784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715731584"/>
        <c:crosses val="autoZero"/>
        <c:auto val="1"/>
        <c:lblAlgn val="ctr"/>
        <c:lblOffset val="100"/>
        <c:noMultiLvlLbl val="0"/>
      </c:catAx>
      <c:valAx>
        <c:axId val="715731584"/>
        <c:scaling>
          <c:orientation val="minMax"/>
          <c:max val="260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1093784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3="http://schemas.microsoft.com/office/drawing/2017/03/chart" xmlns:c16="http://schemas.microsoft.com/office/drawing/2014/chart" xmlns:c15="http://schemas.microsoft.com/office/drawing/2012/chart" xmlns:c14="http://schemas.microsoft.com/office/drawing/2007/8/2/chart" xmlns:mc="http://schemas.openxmlformats.org/markup-compatibility/2006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708858650055744E-2"/>
          <c:y val="3.1306705390923124E-2"/>
          <c:w val="0.88226740009883808"/>
          <c:h val="0.908756723135360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3="http://schemas.microsoft.com/office/drawing/2017/03/chart"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1-63F6-494D-9700-88F4D64CF5C0}"/>
              </c:ext>
            </c:extLst>
          </c:dPt>
          <c:dPt>
            <c:idx val="8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 xmlns:c16r3="http://schemas.microsoft.com/office/drawing/2017/03/chart"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3-63F6-494D-9700-88F4D64CF5C0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3="http://schemas.microsoft.com/office/drawing/2017/03/chart"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5-63F6-494D-9700-88F4D64CF5C0}"/>
              </c:ext>
            </c:extLst>
          </c:dPt>
          <c:dPt>
            <c:idx val="1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 xmlns:c16r3="http://schemas.microsoft.com/office/drawing/2017/03/chart"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7-63F6-494D-9700-88F4D64CF5C0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3="http://schemas.microsoft.com/office/drawing/2017/03/chart"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9-63F6-494D-9700-88F4D64CF5C0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3="http://schemas.microsoft.com/office/drawing/2017/03/chart"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6="http://schemas.microsoft.com/office/drawing/2014/chart" uri="{C3380CC4-5D6E-409C-BE32-E72D297353CC}">
                <c16:uniqueId val="{0000000B-63F6-494D-9700-88F4D64CF5C0}"/>
              </c:ext>
            </c:extLst>
          </c:dPt>
          <c:dLbls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 xmlns:c16r3="http://schemas.microsoft.com/office/drawing/2017/03/chart"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F6-494D-9700-88F4D64CF5C0}"/>
                </c:ext>
              </c:extLst>
            </c:dLbl>
            <c:dLbl>
              <c:idx val="10"/>
              <c:layout>
                <c:manualLayout>
                  <c:x val="-1.1995609750491318E-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3="http://schemas.microsoft.com/office/drawing/2017/03/chart"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3F6-494D-9700-88F4D64CF5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l-G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3="http://schemas.microsoft.com/office/drawing/2017/03/chart"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'card use v'!$T$51:$T$79</c:f>
              <c:strCache>
                <c:ptCount val="29"/>
                <c:pt idx="0">
                  <c:v>DE</c:v>
                </c:pt>
                <c:pt idx="1">
                  <c:v>IT</c:v>
                </c:pt>
                <c:pt idx="2">
                  <c:v>RO</c:v>
                </c:pt>
                <c:pt idx="3">
                  <c:v>AT</c:v>
                </c:pt>
                <c:pt idx="4">
                  <c:v>BG</c:v>
                </c:pt>
                <c:pt idx="5">
                  <c:v>PL</c:v>
                </c:pt>
                <c:pt idx="6">
                  <c:v>SK</c:v>
                </c:pt>
                <c:pt idx="7">
                  <c:v>SI</c:v>
                </c:pt>
                <c:pt idx="8">
                  <c:v>GR</c:v>
                </c:pt>
                <c:pt idx="9">
                  <c:v>NL</c:v>
                </c:pt>
                <c:pt idx="10">
                  <c:v>EA20</c:v>
                </c:pt>
                <c:pt idx="11">
                  <c:v>ΕΕ27</c:v>
                </c:pt>
                <c:pt idx="12">
                  <c:v>ES</c:v>
                </c:pt>
                <c:pt idx="13">
                  <c:v>LV</c:v>
                </c:pt>
                <c:pt idx="14">
                  <c:v>CZ</c:v>
                </c:pt>
                <c:pt idx="15">
                  <c:v>HR</c:v>
                </c:pt>
                <c:pt idx="16">
                  <c:v>HU</c:v>
                </c:pt>
                <c:pt idx="17">
                  <c:v>EE</c:v>
                </c:pt>
                <c:pt idx="18">
                  <c:v>FI</c:v>
                </c:pt>
                <c:pt idx="19">
                  <c:v>BE</c:v>
                </c:pt>
                <c:pt idx="20">
                  <c:v>FR</c:v>
                </c:pt>
                <c:pt idx="21">
                  <c:v>SE</c:v>
                </c:pt>
                <c:pt idx="22">
                  <c:v>DK</c:v>
                </c:pt>
                <c:pt idx="23">
                  <c:v>MT</c:v>
                </c:pt>
                <c:pt idx="24">
                  <c:v>CY</c:v>
                </c:pt>
                <c:pt idx="25">
                  <c:v>LU</c:v>
                </c:pt>
                <c:pt idx="26">
                  <c:v>PT</c:v>
                </c:pt>
                <c:pt idx="27">
                  <c:v>IE</c:v>
                </c:pt>
                <c:pt idx="28">
                  <c:v>LT</c:v>
                </c:pt>
              </c:strCache>
            </c:strRef>
          </c:cat>
          <c:val>
            <c:numRef>
              <c:f>'card use v'!$U$51:$U$79</c:f>
              <c:numCache>
                <c:formatCode>0.0%</c:formatCode>
                <c:ptCount val="29"/>
                <c:pt idx="0">
                  <c:v>0.25265954229636761</c:v>
                </c:pt>
                <c:pt idx="1">
                  <c:v>0.30243614519844564</c:v>
                </c:pt>
                <c:pt idx="2">
                  <c:v>0.30287474990851126</c:v>
                </c:pt>
                <c:pt idx="3">
                  <c:v>0.31827515081870766</c:v>
                </c:pt>
                <c:pt idx="4">
                  <c:v>0.34501266199661457</c:v>
                </c:pt>
                <c:pt idx="5">
                  <c:v>0.38211804730281745</c:v>
                </c:pt>
                <c:pt idx="6">
                  <c:v>0.38617592974965131</c:v>
                </c:pt>
                <c:pt idx="7">
                  <c:v>0.38644928136815843</c:v>
                </c:pt>
                <c:pt idx="8">
                  <c:v>0.3977850121055459</c:v>
                </c:pt>
                <c:pt idx="9">
                  <c:v>0.40262455658143742</c:v>
                </c:pt>
                <c:pt idx="10">
                  <c:v>0.40772945351209661</c:v>
                </c:pt>
                <c:pt idx="11">
                  <c:v>0.4155160498088562</c:v>
                </c:pt>
                <c:pt idx="12">
                  <c:v>0.4228135401435224</c:v>
                </c:pt>
                <c:pt idx="13">
                  <c:v>0.42920160136074181</c:v>
                </c:pt>
                <c:pt idx="14">
                  <c:v>0.46835654649168268</c:v>
                </c:pt>
                <c:pt idx="15">
                  <c:v>0.47356351713957823</c:v>
                </c:pt>
                <c:pt idx="16">
                  <c:v>0.47628132467960888</c:v>
                </c:pt>
                <c:pt idx="17">
                  <c:v>0.51438274418407959</c:v>
                </c:pt>
                <c:pt idx="18">
                  <c:v>0.5229682992831034</c:v>
                </c:pt>
                <c:pt idx="19">
                  <c:v>0.52729503094286956</c:v>
                </c:pt>
                <c:pt idx="20">
                  <c:v>0.52994334077314253</c:v>
                </c:pt>
                <c:pt idx="21">
                  <c:v>0.59177277959871666</c:v>
                </c:pt>
                <c:pt idx="22">
                  <c:v>0.70353359507720548</c:v>
                </c:pt>
                <c:pt idx="23">
                  <c:v>0.72412697957035543</c:v>
                </c:pt>
                <c:pt idx="24">
                  <c:v>0.73846766441010703</c:v>
                </c:pt>
                <c:pt idx="25">
                  <c:v>0.78709570324747258</c:v>
                </c:pt>
                <c:pt idx="26">
                  <c:v>0.82439996039928054</c:v>
                </c:pt>
                <c:pt idx="27">
                  <c:v>1.0050623380718702</c:v>
                </c:pt>
                <c:pt idx="28">
                  <c:v>1.7564512403058137</c:v>
                </c:pt>
              </c:numCache>
            </c:numRef>
          </c:val>
          <c:extLst xmlns:c16r3="http://schemas.microsoft.com/office/drawing/2017/03/chart"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      <c:ext xmlns:c16="http://schemas.microsoft.com/office/drawing/2014/chart" uri="{C3380CC4-5D6E-409C-BE32-E72D297353CC}">
              <c16:uniqueId val="{0000000C-63F6-494D-9700-88F4D64CF5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93453328"/>
        <c:axId val="593456568"/>
      </c:barChart>
      <c:catAx>
        <c:axId val="593453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593456568"/>
        <c:crosses val="autoZero"/>
        <c:auto val="1"/>
        <c:lblAlgn val="ctr"/>
        <c:lblOffset val="100"/>
        <c:noMultiLvlLbl val="0"/>
      </c:catAx>
      <c:valAx>
        <c:axId val="593456568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593453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3="http://schemas.microsoft.com/office/drawing/2017/03/chart" xmlns:c15="http://schemas.microsoft.com/office/drawing/2012/chart" xmlns:c16="http://schemas.microsoft.com/office/drawing/2014/chart" xmlns:c14="http://schemas.microsoft.com/office/drawing/2007/8/2/chart" xmlns:mc="http://schemas.openxmlformats.org/markup-compatibility/2006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0.12776</cdr:x>
      <cdr:y>0.33277</cdr:y>
    </cdr:from>
    <cdr:to>
      <cdr:x>0.291</cdr:x>
      <cdr:y>0.42848</cdr:y>
    </cdr:to>
    <cdr:sp macro="" textlink="">
      <cdr:nvSpPr>
        <cdr:cNvPr id="2" name="TextBox 5">
          <a:extLst xmlns:a="http://schemas.openxmlformats.org/drawingml/2006/main">
            <a:ext uri="{FF2B5EF4-FFF2-40B4-BE49-F238E27FC236}">
              <a16:creationId xmlns:a16="http://schemas.microsoft.com/office/drawing/2014/main" id="{B43E34B9-B65F-56D6-6B04-86DDF41DA101}"/>
            </a:ext>
          </a:extLst>
        </cdr:cNvPr>
        <cdr:cNvSpPr txBox="1"/>
      </cdr:nvSpPr>
      <cdr:spPr>
        <a:xfrm xmlns:a="http://schemas.openxmlformats.org/drawingml/2006/main">
          <a:off x="668886" y="1362727"/>
          <a:ext cx="854625" cy="3919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l-GR" sz="900" dirty="0"/>
            <a:t>Κεφαλαιακοί περιορισμοί</a:t>
          </a:r>
        </a:p>
      </cdr:txBody>
    </cdr:sp>
  </cdr:relSizeAnchor>
  <cdr:relSizeAnchor xmlns:cdr="http://schemas.openxmlformats.org/drawingml/2006/chartDrawing">
    <cdr:from>
      <cdr:x>0.30169</cdr:x>
      <cdr:y>0.27194</cdr:y>
    </cdr:from>
    <cdr:to>
      <cdr:x>0.39837</cdr:x>
      <cdr:y>0.4037</cdr:y>
    </cdr:to>
    <cdr:sp macro="" textlink="">
      <cdr:nvSpPr>
        <cdr:cNvPr id="3" name="TextBox 8">
          <a:extLst xmlns:a="http://schemas.openxmlformats.org/drawingml/2006/main">
            <a:ext uri="{FF2B5EF4-FFF2-40B4-BE49-F238E27FC236}">
              <a16:creationId xmlns:a16="http://schemas.microsoft.com/office/drawing/2014/main" id="{0F5EB74B-862E-7453-430F-8EBD35B90D80}"/>
            </a:ext>
          </a:extLst>
        </cdr:cNvPr>
        <cdr:cNvSpPr txBox="1"/>
      </cdr:nvSpPr>
      <cdr:spPr>
        <a:xfrm xmlns:a="http://schemas.openxmlformats.org/drawingml/2006/main">
          <a:off x="1579478" y="1113636"/>
          <a:ext cx="506158" cy="53957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l-GR" sz="900" dirty="0"/>
            <a:t>Νόμος</a:t>
          </a:r>
          <a:r>
            <a:rPr lang="en-US" sz="900" dirty="0"/>
            <a:t> 4446/2016</a:t>
          </a:r>
          <a:endParaRPr lang="el-GR" sz="900" dirty="0"/>
        </a:p>
      </cdr:txBody>
    </cdr:sp>
  </cdr:relSizeAnchor>
  <cdr:relSizeAnchor xmlns:cdr="http://schemas.openxmlformats.org/drawingml/2006/chartDrawing">
    <cdr:from>
      <cdr:x>0.46769</cdr:x>
      <cdr:y>0.21028</cdr:y>
    </cdr:from>
    <cdr:to>
      <cdr:x>0.56378</cdr:x>
      <cdr:y>0.34204</cdr:y>
    </cdr:to>
    <cdr:sp macro="" textlink="">
      <cdr:nvSpPr>
        <cdr:cNvPr id="4" name="TextBox 11">
          <a:extLst xmlns:a="http://schemas.openxmlformats.org/drawingml/2006/main">
            <a:ext uri="{FF2B5EF4-FFF2-40B4-BE49-F238E27FC236}">
              <a16:creationId xmlns:a16="http://schemas.microsoft.com/office/drawing/2014/main" id="{5202B1F0-268E-99A1-C358-740D64551EBA}"/>
            </a:ext>
          </a:extLst>
        </cdr:cNvPr>
        <cdr:cNvSpPr txBox="1"/>
      </cdr:nvSpPr>
      <cdr:spPr>
        <a:xfrm xmlns:a="http://schemas.openxmlformats.org/drawingml/2006/main">
          <a:off x="2448550" y="861136"/>
          <a:ext cx="503068" cy="53957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l-GR" sz="900"/>
            <a:t>Νόμος</a:t>
          </a:r>
          <a:r>
            <a:rPr lang="en-US" sz="900"/>
            <a:t> 4646/201</a:t>
          </a:r>
          <a:r>
            <a:rPr lang="el-GR" sz="900"/>
            <a:t>9</a:t>
          </a:r>
        </a:p>
      </cdr:txBody>
    </cdr:sp>
  </cdr:relSizeAnchor>
  <cdr:relSizeAnchor xmlns:cdr="http://schemas.openxmlformats.org/drawingml/2006/chartDrawing">
    <cdr:from>
      <cdr:x>0.57266</cdr:x>
      <cdr:y>0.15113</cdr:y>
    </cdr:from>
    <cdr:to>
      <cdr:x>0.71213</cdr:x>
      <cdr:y>0.24684</cdr:y>
    </cdr:to>
    <cdr:sp macro="" textlink="">
      <cdr:nvSpPr>
        <cdr:cNvPr id="5" name="TextBox 12">
          <a:extLst xmlns:a="http://schemas.openxmlformats.org/drawingml/2006/main">
            <a:ext uri="{FF2B5EF4-FFF2-40B4-BE49-F238E27FC236}">
              <a16:creationId xmlns:a16="http://schemas.microsoft.com/office/drawing/2014/main" id="{218E690D-4E2C-64D1-7772-9458D0092313}"/>
            </a:ext>
          </a:extLst>
        </cdr:cNvPr>
        <cdr:cNvSpPr txBox="1"/>
      </cdr:nvSpPr>
      <cdr:spPr>
        <a:xfrm xmlns:a="http://schemas.openxmlformats.org/drawingml/2006/main">
          <a:off x="2998087" y="618873"/>
          <a:ext cx="730180" cy="39194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l-GR" sz="900" dirty="0"/>
            <a:t>Κρίση πανδημίας</a:t>
          </a:r>
        </a:p>
      </cdr:txBody>
    </cdr:sp>
  </cdr:relSizeAnchor>
  <cdr:relSizeAnchor xmlns:cdr="http://schemas.openxmlformats.org/drawingml/2006/chartDrawing">
    <cdr:from>
      <cdr:x>0.72001</cdr:x>
      <cdr:y>0.08538</cdr:y>
    </cdr:from>
    <cdr:to>
      <cdr:x>0.81967</cdr:x>
      <cdr:y>0.21368</cdr:y>
    </cdr:to>
    <cdr:sp macro="" textlink="">
      <cdr:nvSpPr>
        <cdr:cNvPr id="6" name="TextBox 12">
          <a:extLst xmlns:a="http://schemas.openxmlformats.org/drawingml/2006/main">
            <a:ext uri="{FF2B5EF4-FFF2-40B4-BE49-F238E27FC236}">
              <a16:creationId xmlns:a16="http://schemas.microsoft.com/office/drawing/2014/main" id="{0599FD88-4B66-C877-E053-6A7A39D25206}"/>
            </a:ext>
          </a:extLst>
        </cdr:cNvPr>
        <cdr:cNvSpPr txBox="1"/>
      </cdr:nvSpPr>
      <cdr:spPr>
        <a:xfrm xmlns:a="http://schemas.openxmlformats.org/drawingml/2006/main">
          <a:off x="3714852" y="342695"/>
          <a:ext cx="514239" cy="51494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defPPr>
            <a:defRPr lang="en-US"/>
          </a:defPPr>
          <a:lvl1pPr marL="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l-GR" sz="900" dirty="0"/>
            <a:t>Νόμος</a:t>
          </a:r>
          <a:r>
            <a:rPr lang="en-GB" sz="900" baseline="0" dirty="0"/>
            <a:t> 4876/2021</a:t>
          </a:r>
          <a:endParaRPr lang="el-GR" sz="900" dirty="0"/>
        </a:p>
      </cdr:txBody>
    </cdr:sp>
  </cdr:relSizeAnchor>
  <cdr:relSizeAnchor xmlns:cdr="http://schemas.openxmlformats.org/drawingml/2006/chartDrawing">
    <cdr:from>
      <cdr:x>0.84241</cdr:x>
      <cdr:y>0.03867</cdr:y>
    </cdr:from>
    <cdr:to>
      <cdr:x>0.99724</cdr:x>
      <cdr:y>0.16696</cdr:y>
    </cdr:to>
    <cdr:sp macro="" textlink="">
      <cdr:nvSpPr>
        <cdr:cNvPr id="7" name="TextBox 12">
          <a:extLst xmlns:a="http://schemas.openxmlformats.org/drawingml/2006/main">
            <a:ext uri="{FF2B5EF4-FFF2-40B4-BE49-F238E27FC236}">
              <a16:creationId xmlns:a16="http://schemas.microsoft.com/office/drawing/2014/main" id="{F891484B-5873-57DA-759B-D472444323E6}"/>
            </a:ext>
          </a:extLst>
        </cdr:cNvPr>
        <cdr:cNvSpPr txBox="1"/>
      </cdr:nvSpPr>
      <cdr:spPr>
        <a:xfrm xmlns:a="http://schemas.openxmlformats.org/drawingml/2006/main">
          <a:off x="4718092" y="142316"/>
          <a:ext cx="867156" cy="47216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wrap="square" rtlCol="0">
          <a:spAutoFit/>
        </a:bodyPr>
        <a:lstStyle xmlns:a="http://schemas.openxmlformats.org/drawingml/2006/main">
          <a:defPPr>
            <a:defRPr lang="en-US"/>
          </a:defPPr>
          <a:lvl1pPr marL="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 algn="l" defTabSz="4572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l-GR" sz="900" dirty="0"/>
            <a:t>Σύνδεση τερματικών </a:t>
          </a:r>
          <a:r>
            <a:rPr lang="en-US" sz="900" dirty="0"/>
            <a:t>POS </a:t>
          </a:r>
          <a:r>
            <a:rPr lang="el-GR" sz="900" dirty="0"/>
            <a:t>με ΑΑΔΕ</a:t>
          </a:r>
        </a:p>
      </cdr:txBody>
    </cdr:sp>
  </cdr:relSizeAnchor>
</c:userShape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907312-995c-4e95-99b4-74fde69703a8" xsi:nil="true"/>
    <lcf76f155ced4ddcb4097134ff3c332f xmlns="4c745dad-2bfd-485b-b691-17fa775f8e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A707F6ADBE641A7790A00F843F0CB" ma:contentTypeVersion="12" ma:contentTypeDescription="Create a new document." ma:contentTypeScope="" ma:versionID="46f46f335a419818cd9778a94a90b72b">
  <xsd:schema xmlns:xsd="http://www.w3.org/2001/XMLSchema" xmlns:xs="http://www.w3.org/2001/XMLSchema" xmlns:p="http://schemas.microsoft.com/office/2006/metadata/properties" xmlns:ns2="4c745dad-2bfd-485b-b691-17fa775f8e03" xmlns:ns3="01907312-995c-4e95-99b4-74fde69703a8" targetNamespace="http://schemas.microsoft.com/office/2006/metadata/properties" ma:root="true" ma:fieldsID="6d8acc7eb287f346771dc60ecb0f0c85" ns2:_="" ns3:_="">
    <xsd:import namespace="4c745dad-2bfd-485b-b691-17fa775f8e03"/>
    <xsd:import namespace="01907312-995c-4e95-99b4-74fde6970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45dad-2bfd-485b-b691-17fa775f8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e697c8-5dc4-46bc-8d54-eaa227a98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7312-995c-4e95-99b4-74fde69703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421a8a-0f28-45a5-a343-bbaa32dfe288}" ma:internalName="TaxCatchAll" ma:showField="CatchAllData" ma:web="01907312-995c-4e95-99b4-74fde6970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CDBFA-801B-491F-8365-0CE818364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8D3BE0-4F4C-4594-A71B-2DB1DD5F43BF}">
  <ds:schemaRefs>
    <ds:schemaRef ds:uri="http://schemas.microsoft.com/office/2006/metadata/properties"/>
    <ds:schemaRef ds:uri="http://schemas.microsoft.com/office/infopath/2007/PartnerControls"/>
    <ds:schemaRef ds:uri="01907312-995c-4e95-99b4-74fde69703a8"/>
    <ds:schemaRef ds:uri="4c745dad-2bfd-485b-b691-17fa775f8e03"/>
  </ds:schemaRefs>
</ds:datastoreItem>
</file>

<file path=customXml/itemProps3.xml><?xml version="1.0" encoding="utf-8"?>
<ds:datastoreItem xmlns:ds="http://schemas.openxmlformats.org/officeDocument/2006/customXml" ds:itemID="{A7D441DE-62D3-48A4-9434-D18E4FA83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45dad-2bfd-485b-b691-17fa775f8e03"/>
    <ds:schemaRef ds:uri="01907312-995c-4e95-99b4-74fde6970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308485-F40A-4F63-89C8-356E9239D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IOBE</dc:creator>
  <cp:keywords/>
  <dc:description/>
  <cp:lastModifiedBy>Nancy Roussia</cp:lastModifiedBy>
  <cp:revision>4</cp:revision>
  <cp:lastPrinted>2025-12-18T07:31:00Z</cp:lastPrinted>
  <dcterms:created xsi:type="dcterms:W3CDTF">2025-12-18T06:58:00Z</dcterms:created>
  <dcterms:modified xsi:type="dcterms:W3CDTF">2025-12-18T07:31:00Z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0x0101005A0A707F6ADBE641A7790A00F843F0CB</vt:lpwstr>
  </property>
  <property fmtid="{D5CDD505-2E9C-101B-9397-08002B2CF9AE}" pid="3" name="MediaServiceImageTags">
    <vt:lpwstr/>
  </property>
</Properties>
</file>